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b/>
          <w:bCs/>
          <w:sz w:val="44"/>
          <w:szCs w:val="44"/>
        </w:rPr>
      </w:pPr>
      <w:r>
        <w:rPr>
          <w:rFonts w:hint="eastAsia" w:ascii="宋体" w:hAnsi="宋体" w:eastAsia="宋体"/>
          <w:b/>
          <w:bCs/>
          <w:sz w:val="44"/>
          <w:szCs w:val="44"/>
        </w:rPr>
        <w:t>郑州市第八人民医院关于</w:t>
      </w:r>
    </w:p>
    <w:p>
      <w:pPr>
        <w:jc w:val="center"/>
        <w:rPr>
          <w:rFonts w:hint="default"/>
          <w:sz w:val="32"/>
          <w:szCs w:val="32"/>
          <w:lang w:val="en-US"/>
        </w:rPr>
      </w:pPr>
      <w:r>
        <w:rPr>
          <w:rFonts w:hint="eastAsia" w:ascii="宋体" w:hAnsi="宋体" w:eastAsia="宋体"/>
          <w:b/>
          <w:bCs/>
          <w:sz w:val="44"/>
          <w:szCs w:val="44"/>
        </w:rPr>
        <w:t>2</w:t>
      </w:r>
      <w:r>
        <w:rPr>
          <w:rFonts w:ascii="宋体" w:hAnsi="宋体" w:eastAsia="宋体"/>
          <w:b/>
          <w:bCs/>
          <w:sz w:val="44"/>
          <w:szCs w:val="44"/>
        </w:rPr>
        <w:t>02</w:t>
      </w:r>
      <w:r>
        <w:rPr>
          <w:rFonts w:hint="eastAsia" w:ascii="宋体" w:hAnsi="宋体" w:eastAsia="宋体"/>
          <w:b/>
          <w:bCs/>
          <w:sz w:val="44"/>
          <w:szCs w:val="44"/>
          <w:lang w:val="en-US" w:eastAsia="zh-CN"/>
        </w:rPr>
        <w:t>3</w:t>
      </w:r>
      <w:r>
        <w:rPr>
          <w:rFonts w:hint="eastAsia" w:ascii="宋体" w:hAnsi="宋体" w:eastAsia="宋体"/>
          <w:b/>
          <w:bCs/>
          <w:sz w:val="44"/>
          <w:szCs w:val="44"/>
        </w:rPr>
        <w:t>年年报审计、内控风险评估审计</w:t>
      </w:r>
      <w:r>
        <w:rPr>
          <w:rFonts w:hint="eastAsia" w:ascii="宋体" w:hAnsi="宋体" w:eastAsia="宋体"/>
          <w:b/>
          <w:bCs/>
          <w:sz w:val="44"/>
          <w:szCs w:val="44"/>
          <w:lang w:eastAsia="zh-CN"/>
        </w:rPr>
        <w:t>、</w:t>
      </w:r>
      <w:r>
        <w:rPr>
          <w:rFonts w:hint="eastAsia" w:ascii="宋体" w:hAnsi="宋体" w:eastAsia="宋体"/>
          <w:b/>
          <w:bCs/>
          <w:sz w:val="44"/>
          <w:szCs w:val="44"/>
          <w:lang w:val="en-US" w:eastAsia="zh-CN"/>
        </w:rPr>
        <w:t>任职审计项目比选公告</w:t>
      </w:r>
    </w:p>
    <w:p>
      <w:pPr>
        <w:widowControl/>
        <w:spacing w:line="540" w:lineRule="atLeast"/>
        <w:jc w:val="left"/>
        <w:outlineLvl w:val="1"/>
        <w:rPr>
          <w:rFonts w:ascii="微软雅黑" w:hAnsi="微软雅黑" w:eastAsia="微软雅黑" w:cs="宋体"/>
          <w:b/>
          <w:bCs/>
          <w:color w:val="1A1A1A"/>
          <w:kern w:val="0"/>
          <w:sz w:val="36"/>
          <w:szCs w:val="36"/>
        </w:rPr>
      </w:pPr>
      <w:r>
        <w:rPr>
          <w:rFonts w:hint="eastAsia" w:ascii="微软雅黑" w:hAnsi="微软雅黑" w:eastAsia="微软雅黑" w:cs="宋体"/>
          <w:b/>
          <w:bCs/>
          <w:color w:val="1A1A1A"/>
          <w:kern w:val="0"/>
          <w:sz w:val="29"/>
          <w:szCs w:val="29"/>
        </w:rPr>
        <w:t>一、项目基本情况</w:t>
      </w:r>
    </w:p>
    <w:p>
      <w:pPr>
        <w:widowControl/>
        <w:ind w:firstLine="555"/>
        <w:jc w:val="left"/>
        <w:rPr>
          <w:rFonts w:hint="default" w:ascii="仿宋" w:hAnsi="仿宋" w:eastAsia="仿宋" w:cs="宋体"/>
          <w:color w:val="1A1A1A"/>
          <w:kern w:val="0"/>
          <w:sz w:val="29"/>
          <w:szCs w:val="29"/>
          <w:lang w:val="en-US" w:eastAsia="zh-CN"/>
        </w:rPr>
      </w:pPr>
      <w:r>
        <w:rPr>
          <w:rFonts w:hint="eastAsia" w:ascii="仿宋" w:hAnsi="仿宋" w:eastAsia="仿宋" w:cs="宋体"/>
          <w:color w:val="1A1A1A"/>
          <w:kern w:val="0"/>
          <w:sz w:val="29"/>
          <w:szCs w:val="29"/>
        </w:rPr>
        <w:t>项目名称：郑州市第八人民医院</w:t>
      </w:r>
      <w:r>
        <w:rPr>
          <w:rFonts w:hint="eastAsia" w:ascii="仿宋" w:hAnsi="仿宋" w:eastAsia="仿宋" w:cs="宋体"/>
          <w:color w:val="1A1A1A"/>
          <w:kern w:val="0"/>
          <w:sz w:val="29"/>
          <w:szCs w:val="29"/>
          <w:lang w:val="en-US" w:eastAsia="zh-CN"/>
        </w:rPr>
        <w:t>2023年</w:t>
      </w:r>
      <w:r>
        <w:rPr>
          <w:rFonts w:hint="eastAsia" w:ascii="仿宋" w:hAnsi="仿宋" w:eastAsia="仿宋" w:cs="宋体"/>
          <w:color w:val="1A1A1A"/>
          <w:kern w:val="0"/>
          <w:sz w:val="29"/>
          <w:szCs w:val="29"/>
        </w:rPr>
        <w:t>年报审计、内控风险评估</w:t>
      </w:r>
      <w:r>
        <w:rPr>
          <w:rFonts w:hint="eastAsia" w:ascii="仿宋" w:hAnsi="仿宋" w:eastAsia="仿宋" w:cs="宋体"/>
          <w:color w:val="1A1A1A"/>
          <w:kern w:val="0"/>
          <w:sz w:val="29"/>
          <w:szCs w:val="29"/>
          <w:lang w:eastAsia="zh-CN"/>
        </w:rPr>
        <w:t>、</w:t>
      </w:r>
      <w:r>
        <w:rPr>
          <w:rFonts w:hint="eastAsia" w:ascii="仿宋" w:hAnsi="仿宋" w:eastAsia="仿宋" w:cs="宋体"/>
          <w:color w:val="1A1A1A"/>
          <w:kern w:val="0"/>
          <w:sz w:val="29"/>
          <w:szCs w:val="29"/>
          <w:lang w:val="en-US" w:eastAsia="zh-CN"/>
        </w:rPr>
        <w:t>2020年5月至2023年12月领导任期审计</w:t>
      </w:r>
    </w:p>
    <w:p>
      <w:pPr>
        <w:widowControl/>
        <w:ind w:firstLine="555"/>
        <w:jc w:val="left"/>
        <w:rPr>
          <w:rFonts w:hint="eastAsia" w:ascii="微软雅黑" w:hAnsi="微软雅黑" w:eastAsia="仿宋" w:cs="宋体"/>
          <w:color w:val="1A1A1A"/>
          <w:kern w:val="0"/>
          <w:sz w:val="24"/>
          <w:szCs w:val="24"/>
          <w:lang w:eastAsia="zh-CN"/>
        </w:rPr>
      </w:pPr>
      <w:r>
        <w:rPr>
          <w:rFonts w:hint="eastAsia" w:ascii="仿宋" w:hAnsi="仿宋" w:eastAsia="仿宋" w:cs="宋体"/>
          <w:color w:val="1A1A1A"/>
          <w:kern w:val="0"/>
          <w:sz w:val="29"/>
          <w:szCs w:val="29"/>
        </w:rPr>
        <w:t>采购方式：院内</w:t>
      </w:r>
      <w:r>
        <w:rPr>
          <w:rFonts w:hint="eastAsia" w:ascii="仿宋" w:hAnsi="仿宋" w:eastAsia="仿宋" w:cs="宋体"/>
          <w:color w:val="1A1A1A"/>
          <w:kern w:val="0"/>
          <w:sz w:val="29"/>
          <w:szCs w:val="29"/>
          <w:lang w:val="en-US" w:eastAsia="zh-CN"/>
        </w:rPr>
        <w:t>比选</w:t>
      </w:r>
    </w:p>
    <w:p>
      <w:pPr>
        <w:widowControl/>
        <w:ind w:firstLine="555"/>
        <w:jc w:val="left"/>
        <w:rPr>
          <w:rFonts w:ascii="微软雅黑" w:hAnsi="微软雅黑" w:eastAsia="微软雅黑" w:cs="宋体"/>
          <w:color w:val="1A1A1A"/>
          <w:kern w:val="0"/>
          <w:sz w:val="24"/>
          <w:szCs w:val="24"/>
        </w:rPr>
      </w:pPr>
      <w:r>
        <w:rPr>
          <w:rFonts w:hint="eastAsia" w:ascii="仿宋" w:hAnsi="仿宋" w:eastAsia="仿宋" w:cs="宋体"/>
          <w:color w:val="1A1A1A"/>
          <w:kern w:val="0"/>
          <w:sz w:val="29"/>
          <w:szCs w:val="29"/>
        </w:rPr>
        <w:t>预算金额：（人民币）</w:t>
      </w:r>
      <w:r>
        <w:rPr>
          <w:rFonts w:hint="eastAsia" w:ascii="仿宋" w:hAnsi="仿宋" w:eastAsia="仿宋" w:cs="宋体"/>
          <w:color w:val="1A1A1A"/>
          <w:kern w:val="0"/>
          <w:sz w:val="29"/>
          <w:szCs w:val="29"/>
          <w:lang w:val="en-US" w:eastAsia="zh-CN"/>
        </w:rPr>
        <w:t>贰拾</w:t>
      </w:r>
      <w:r>
        <w:rPr>
          <w:rFonts w:hint="eastAsia" w:ascii="仿宋" w:hAnsi="仿宋" w:eastAsia="仿宋" w:cs="宋体"/>
          <w:color w:val="1A1A1A"/>
          <w:kern w:val="0"/>
          <w:sz w:val="29"/>
          <w:szCs w:val="29"/>
        </w:rPr>
        <w:t>万元整</w:t>
      </w:r>
    </w:p>
    <w:p>
      <w:pPr>
        <w:widowControl/>
        <w:ind w:firstLine="555"/>
        <w:jc w:val="left"/>
        <w:rPr>
          <w:rFonts w:ascii="微软雅黑" w:hAnsi="微软雅黑" w:eastAsia="微软雅黑" w:cs="宋体"/>
          <w:color w:val="1A1A1A"/>
          <w:kern w:val="0"/>
          <w:sz w:val="24"/>
          <w:szCs w:val="24"/>
        </w:rPr>
      </w:pPr>
      <w:r>
        <w:rPr>
          <w:rFonts w:hint="eastAsia" w:ascii="仿宋" w:hAnsi="仿宋" w:eastAsia="仿宋" w:cs="宋体"/>
          <w:color w:val="1A1A1A"/>
          <w:kern w:val="0"/>
          <w:sz w:val="29"/>
          <w:szCs w:val="29"/>
        </w:rPr>
        <w:t>最高限价：（人民币）</w:t>
      </w:r>
      <w:r>
        <w:rPr>
          <w:rFonts w:hint="eastAsia" w:ascii="仿宋" w:hAnsi="仿宋" w:eastAsia="仿宋" w:cs="宋体"/>
          <w:color w:val="1A1A1A"/>
          <w:kern w:val="0"/>
          <w:sz w:val="29"/>
          <w:szCs w:val="29"/>
          <w:lang w:val="en-US" w:eastAsia="zh-CN"/>
        </w:rPr>
        <w:t>贰拾</w:t>
      </w:r>
      <w:r>
        <w:rPr>
          <w:rFonts w:hint="eastAsia" w:ascii="仿宋" w:hAnsi="仿宋" w:eastAsia="仿宋" w:cs="宋体"/>
          <w:color w:val="1A1A1A"/>
          <w:kern w:val="0"/>
          <w:sz w:val="29"/>
          <w:szCs w:val="29"/>
        </w:rPr>
        <w:t>万元整</w:t>
      </w:r>
    </w:p>
    <w:p>
      <w:pPr>
        <w:widowControl/>
        <w:ind w:firstLine="555"/>
        <w:jc w:val="left"/>
        <w:rPr>
          <w:rFonts w:ascii="微软雅黑" w:hAnsi="微软雅黑" w:eastAsia="微软雅黑"/>
          <w:b/>
          <w:color w:val="1A1A1A"/>
        </w:rPr>
      </w:pPr>
      <w:r>
        <w:rPr>
          <w:rFonts w:hint="eastAsia" w:ascii="微软雅黑" w:hAnsi="微软雅黑" w:eastAsia="微软雅黑"/>
          <w:b/>
          <w:color w:val="1A1A1A"/>
          <w:sz w:val="29"/>
          <w:szCs w:val="29"/>
        </w:rPr>
        <w:t>二、项目内容</w:t>
      </w:r>
    </w:p>
    <w:p>
      <w:pPr>
        <w:pStyle w:val="4"/>
        <w:spacing w:before="0" w:beforeAutospacing="0" w:after="0" w:afterAutospacing="0"/>
        <w:ind w:firstLine="580" w:firstLineChars="200"/>
        <w:rPr>
          <w:rFonts w:hint="eastAsia" w:ascii="仿宋" w:hAnsi="仿宋" w:eastAsia="仿宋"/>
          <w:color w:val="1A1A1A"/>
          <w:sz w:val="29"/>
          <w:szCs w:val="29"/>
        </w:rPr>
      </w:pPr>
      <w:r>
        <w:rPr>
          <w:rFonts w:hint="eastAsia" w:ascii="仿宋" w:hAnsi="仿宋" w:eastAsia="仿宋"/>
          <w:color w:val="1A1A1A"/>
          <w:sz w:val="29"/>
          <w:szCs w:val="29"/>
        </w:rPr>
        <w:t>1</w:t>
      </w:r>
      <w:r>
        <w:rPr>
          <w:rFonts w:ascii="仿宋" w:hAnsi="仿宋" w:eastAsia="仿宋"/>
          <w:color w:val="1A1A1A"/>
          <w:sz w:val="29"/>
          <w:szCs w:val="29"/>
        </w:rPr>
        <w:t>.</w:t>
      </w:r>
      <w:r>
        <w:rPr>
          <w:rFonts w:hint="eastAsia" w:ascii="仿宋" w:hAnsi="仿宋" w:eastAsia="仿宋"/>
          <w:color w:val="1A1A1A"/>
          <w:sz w:val="29"/>
          <w:szCs w:val="29"/>
          <w:lang w:val="en-US" w:eastAsia="zh-CN"/>
        </w:rPr>
        <w:t>2023年</w:t>
      </w:r>
      <w:r>
        <w:rPr>
          <w:rFonts w:hint="eastAsia" w:ascii="仿宋" w:hAnsi="仿宋" w:eastAsia="仿宋"/>
          <w:color w:val="1A1A1A"/>
          <w:sz w:val="29"/>
          <w:szCs w:val="29"/>
        </w:rPr>
        <w:t>年报审计</w:t>
      </w:r>
    </w:p>
    <w:p>
      <w:pPr>
        <w:pStyle w:val="4"/>
        <w:spacing w:before="0" w:beforeAutospacing="0" w:after="0" w:afterAutospacing="0"/>
        <w:ind w:firstLine="580" w:firstLineChars="200"/>
        <w:rPr>
          <w:rFonts w:hint="eastAsia" w:ascii="仿宋" w:hAnsi="仿宋" w:eastAsia="仿宋"/>
          <w:color w:val="1A1A1A"/>
          <w:sz w:val="29"/>
          <w:szCs w:val="29"/>
          <w:lang w:val="en-US" w:eastAsia="zh-CN"/>
        </w:rPr>
      </w:pPr>
      <w:r>
        <w:rPr>
          <w:rFonts w:hint="eastAsia" w:ascii="仿宋" w:hAnsi="仿宋" w:eastAsia="仿宋"/>
          <w:color w:val="1A1A1A"/>
          <w:sz w:val="29"/>
          <w:szCs w:val="29"/>
          <w:lang w:val="en-US" w:eastAsia="zh-CN"/>
        </w:rPr>
        <w:t>2.内部控制风险评估</w:t>
      </w:r>
    </w:p>
    <w:p>
      <w:pPr>
        <w:pStyle w:val="4"/>
        <w:spacing w:before="0" w:beforeAutospacing="0" w:after="0" w:afterAutospacing="0"/>
        <w:ind w:firstLine="580" w:firstLineChars="200"/>
        <w:rPr>
          <w:rFonts w:hint="default" w:ascii="仿宋" w:hAnsi="仿宋" w:eastAsia="仿宋"/>
          <w:color w:val="1A1A1A"/>
          <w:sz w:val="29"/>
          <w:szCs w:val="29"/>
          <w:lang w:val="en-US" w:eastAsia="zh-CN"/>
        </w:rPr>
      </w:pPr>
      <w:r>
        <w:rPr>
          <w:rFonts w:hint="eastAsia" w:ascii="仿宋" w:hAnsi="仿宋" w:eastAsia="仿宋"/>
          <w:color w:val="1A1A1A"/>
          <w:sz w:val="29"/>
          <w:szCs w:val="29"/>
          <w:lang w:val="en-US" w:eastAsia="zh-CN"/>
        </w:rPr>
        <w:t>3.2020年5月至2023年12月领导任期审计</w:t>
      </w:r>
    </w:p>
    <w:p>
      <w:pPr>
        <w:pStyle w:val="4"/>
        <w:spacing w:before="0" w:beforeAutospacing="0" w:after="0" w:afterAutospacing="0"/>
        <w:ind w:firstLine="580" w:firstLineChars="200"/>
        <w:rPr>
          <w:rFonts w:ascii="微软雅黑" w:hAnsi="微软雅黑" w:eastAsia="微软雅黑"/>
          <w:color w:val="1A1A1A"/>
          <w:sz w:val="29"/>
          <w:szCs w:val="29"/>
        </w:rPr>
      </w:pPr>
      <w:r>
        <w:rPr>
          <w:rStyle w:val="7"/>
          <w:rFonts w:hint="eastAsia" w:ascii="微软雅黑" w:hAnsi="微软雅黑" w:eastAsia="微软雅黑"/>
          <w:color w:val="1A1A1A"/>
          <w:sz w:val="29"/>
          <w:szCs w:val="29"/>
        </w:rPr>
        <w:t>三、项目要求</w:t>
      </w:r>
    </w:p>
    <w:p>
      <w:pPr>
        <w:pStyle w:val="4"/>
        <w:spacing w:before="0" w:beforeAutospacing="0" w:after="0" w:afterAutospacing="0"/>
        <w:ind w:firstLine="555"/>
        <w:rPr>
          <w:rFonts w:ascii="微软雅黑" w:hAnsi="微软雅黑" w:eastAsia="微软雅黑"/>
          <w:color w:val="1A1A1A"/>
        </w:rPr>
      </w:pPr>
      <w:r>
        <w:rPr>
          <w:rFonts w:hint="eastAsia" w:ascii="仿宋" w:hAnsi="仿宋" w:eastAsia="仿宋"/>
          <w:color w:val="1A1A1A"/>
          <w:sz w:val="29"/>
          <w:szCs w:val="29"/>
        </w:rPr>
        <w:t>1．进场前提交完整的项目审计实施方案，项目结束后提交审计项目的档案资料；</w:t>
      </w:r>
    </w:p>
    <w:p>
      <w:pPr>
        <w:pStyle w:val="4"/>
        <w:spacing w:before="0" w:beforeAutospacing="0" w:after="0" w:afterAutospacing="0"/>
        <w:ind w:firstLine="555"/>
        <w:rPr>
          <w:rFonts w:ascii="微软雅黑" w:hAnsi="微软雅黑" w:eastAsia="微软雅黑"/>
          <w:color w:val="1A1A1A"/>
        </w:rPr>
      </w:pPr>
      <w:r>
        <w:rPr>
          <w:rFonts w:hint="eastAsia" w:ascii="仿宋" w:hAnsi="仿宋" w:eastAsia="仿宋"/>
          <w:color w:val="1A1A1A"/>
          <w:sz w:val="29"/>
          <w:szCs w:val="29"/>
        </w:rPr>
        <w:t>2．按合同的要求实施审计，不得随意简化审计程序；</w:t>
      </w:r>
    </w:p>
    <w:p>
      <w:pPr>
        <w:pStyle w:val="4"/>
        <w:spacing w:before="0" w:beforeAutospacing="0" w:after="0" w:afterAutospacing="0"/>
        <w:ind w:firstLine="555"/>
        <w:rPr>
          <w:rFonts w:ascii="微软雅黑" w:hAnsi="微软雅黑" w:eastAsia="微软雅黑"/>
          <w:color w:val="1A1A1A"/>
        </w:rPr>
      </w:pPr>
      <w:r>
        <w:rPr>
          <w:rFonts w:hint="eastAsia" w:ascii="仿宋" w:hAnsi="仿宋" w:eastAsia="仿宋"/>
          <w:color w:val="1A1A1A"/>
          <w:sz w:val="29"/>
          <w:szCs w:val="29"/>
        </w:rPr>
        <w:t>3．审计程序规范，审计报告真实，审计结论准确；</w:t>
      </w:r>
    </w:p>
    <w:p>
      <w:pPr>
        <w:pStyle w:val="4"/>
        <w:spacing w:before="0" w:beforeAutospacing="0" w:after="0" w:afterAutospacing="0"/>
        <w:ind w:firstLine="555"/>
        <w:rPr>
          <w:rFonts w:ascii="微软雅黑" w:hAnsi="微软雅黑" w:eastAsia="微软雅黑"/>
          <w:color w:val="1A1A1A"/>
        </w:rPr>
      </w:pPr>
      <w:r>
        <w:rPr>
          <w:rFonts w:hint="eastAsia" w:ascii="仿宋" w:hAnsi="仿宋" w:eastAsia="仿宋"/>
          <w:color w:val="1A1A1A"/>
          <w:sz w:val="29"/>
          <w:szCs w:val="29"/>
        </w:rPr>
        <w:t>4．在审计过程知悉的本院经营信息、技术信息和本院要求保密的信息和资料负有保密义务；</w:t>
      </w:r>
    </w:p>
    <w:p>
      <w:pPr>
        <w:pStyle w:val="4"/>
        <w:spacing w:before="0" w:beforeAutospacing="0" w:after="0" w:afterAutospacing="0"/>
        <w:ind w:firstLine="555"/>
        <w:rPr>
          <w:rFonts w:ascii="微软雅黑" w:hAnsi="微软雅黑" w:eastAsia="微软雅黑"/>
          <w:color w:val="1A1A1A"/>
        </w:rPr>
      </w:pPr>
      <w:r>
        <w:rPr>
          <w:rFonts w:hint="eastAsia" w:ascii="仿宋" w:hAnsi="仿宋" w:eastAsia="仿宋"/>
          <w:color w:val="1A1A1A"/>
          <w:sz w:val="29"/>
          <w:szCs w:val="29"/>
        </w:rPr>
        <w:t>5．不得擅自将受托审计业务委托给第三方；</w:t>
      </w:r>
    </w:p>
    <w:p>
      <w:pPr>
        <w:pStyle w:val="4"/>
        <w:spacing w:before="0" w:beforeAutospacing="0" w:after="0" w:afterAutospacing="0"/>
        <w:ind w:firstLine="580" w:firstLineChars="200"/>
        <w:rPr>
          <w:rFonts w:ascii="微软雅黑" w:hAnsi="微软雅黑" w:eastAsia="微软雅黑"/>
          <w:color w:val="1A1A1A"/>
        </w:rPr>
      </w:pPr>
      <w:r>
        <w:rPr>
          <w:rStyle w:val="7"/>
          <w:rFonts w:hint="eastAsia" w:ascii="微软雅黑" w:hAnsi="微软雅黑" w:eastAsia="微软雅黑"/>
          <w:color w:val="1A1A1A"/>
          <w:sz w:val="29"/>
          <w:szCs w:val="29"/>
        </w:rPr>
        <w:t>四、项目完成时间及要求</w:t>
      </w:r>
    </w:p>
    <w:p>
      <w:pPr>
        <w:pStyle w:val="4"/>
        <w:spacing w:before="0" w:beforeAutospacing="0" w:after="0" w:afterAutospacing="0"/>
        <w:ind w:firstLine="555"/>
        <w:rPr>
          <w:rFonts w:ascii="仿宋" w:hAnsi="仿宋" w:eastAsia="仿宋"/>
          <w:color w:val="1A1A1A"/>
          <w:sz w:val="29"/>
          <w:szCs w:val="29"/>
        </w:rPr>
      </w:pPr>
      <w:r>
        <w:rPr>
          <w:rFonts w:hint="eastAsia" w:ascii="仿宋" w:hAnsi="仿宋" w:eastAsia="仿宋"/>
          <w:color w:val="1A1A1A"/>
          <w:sz w:val="29"/>
          <w:szCs w:val="29"/>
        </w:rPr>
        <w:t>进场</w:t>
      </w:r>
      <w:r>
        <w:rPr>
          <w:rFonts w:hint="eastAsia" w:ascii="仿宋" w:hAnsi="仿宋" w:eastAsia="仿宋"/>
          <w:color w:val="1A1A1A"/>
          <w:sz w:val="29"/>
          <w:szCs w:val="29"/>
          <w:lang w:val="en-US" w:eastAsia="zh-CN"/>
        </w:rPr>
        <w:t>90</w:t>
      </w:r>
      <w:r>
        <w:rPr>
          <w:rFonts w:hint="eastAsia" w:ascii="仿宋" w:hAnsi="仿宋" w:eastAsia="仿宋"/>
          <w:color w:val="1A1A1A"/>
          <w:sz w:val="29"/>
          <w:szCs w:val="29"/>
        </w:rPr>
        <w:t>个工作日出具《年报审计报告》、《内控风险评估报告》</w:t>
      </w:r>
      <w:r>
        <w:rPr>
          <w:rFonts w:hint="eastAsia" w:ascii="仿宋" w:hAnsi="仿宋" w:eastAsia="仿宋"/>
          <w:color w:val="1A1A1A"/>
          <w:sz w:val="29"/>
          <w:szCs w:val="29"/>
          <w:lang w:eastAsia="zh-CN"/>
        </w:rPr>
        <w:t>、《</w:t>
      </w:r>
      <w:r>
        <w:rPr>
          <w:rFonts w:hint="eastAsia" w:ascii="仿宋" w:hAnsi="仿宋" w:eastAsia="仿宋"/>
          <w:color w:val="1A1A1A"/>
          <w:sz w:val="29"/>
          <w:szCs w:val="29"/>
          <w:lang w:val="en-US" w:eastAsia="zh-CN"/>
        </w:rPr>
        <w:t>任期审计报告</w:t>
      </w:r>
      <w:r>
        <w:rPr>
          <w:rFonts w:hint="eastAsia" w:ascii="仿宋" w:hAnsi="仿宋" w:eastAsia="仿宋"/>
          <w:color w:val="1A1A1A"/>
          <w:sz w:val="29"/>
          <w:szCs w:val="29"/>
          <w:lang w:eastAsia="zh-CN"/>
        </w:rPr>
        <w:t>》</w:t>
      </w:r>
      <w:r>
        <w:rPr>
          <w:rFonts w:hint="eastAsia" w:ascii="仿宋" w:hAnsi="仿宋" w:eastAsia="仿宋"/>
          <w:color w:val="1A1A1A"/>
          <w:sz w:val="29"/>
          <w:szCs w:val="29"/>
        </w:rPr>
        <w:t>。</w:t>
      </w:r>
    </w:p>
    <w:p>
      <w:pPr>
        <w:pStyle w:val="4"/>
        <w:spacing w:before="0" w:beforeAutospacing="0" w:after="0" w:afterAutospacing="0"/>
        <w:ind w:firstLine="580" w:firstLineChars="200"/>
        <w:rPr>
          <w:rFonts w:ascii="微软雅黑" w:hAnsi="微软雅黑" w:eastAsia="微软雅黑"/>
          <w:color w:val="1A1A1A"/>
        </w:rPr>
      </w:pPr>
      <w:r>
        <w:rPr>
          <w:rStyle w:val="7"/>
          <w:rFonts w:hint="eastAsia" w:ascii="微软雅黑" w:hAnsi="微软雅黑" w:eastAsia="微软雅黑"/>
          <w:color w:val="1A1A1A"/>
          <w:sz w:val="29"/>
          <w:szCs w:val="29"/>
        </w:rPr>
        <w:t>五、项目付款方式</w:t>
      </w:r>
      <w:r>
        <w:rPr>
          <w:rFonts w:ascii="微软雅黑" w:hAnsi="微软雅黑" w:eastAsia="微软雅黑" w:cs="Calibri"/>
          <w:color w:val="1A1A1A"/>
          <w:sz w:val="29"/>
          <w:szCs w:val="29"/>
        </w:rPr>
        <w:t> </w:t>
      </w:r>
    </w:p>
    <w:p>
      <w:pPr>
        <w:pStyle w:val="4"/>
        <w:spacing w:before="0" w:beforeAutospacing="0" w:after="0" w:afterAutospacing="0"/>
        <w:ind w:firstLine="555"/>
        <w:rPr>
          <w:rStyle w:val="7"/>
          <w:rFonts w:ascii="Calibri" w:hAnsi="Calibri" w:eastAsia="仿宋" w:cs="Calibri"/>
          <w:color w:val="1A1A1A"/>
          <w:sz w:val="29"/>
          <w:szCs w:val="29"/>
        </w:rPr>
      </w:pPr>
      <w:r>
        <w:rPr>
          <w:rFonts w:hint="eastAsia" w:ascii="仿宋" w:hAnsi="仿宋" w:eastAsia="仿宋"/>
          <w:color w:val="1A1A1A"/>
          <w:sz w:val="29"/>
          <w:szCs w:val="29"/>
          <w:lang w:val="en-US" w:eastAsia="zh-CN"/>
        </w:rPr>
        <w:t>事务所</w:t>
      </w:r>
      <w:r>
        <w:rPr>
          <w:rFonts w:hint="eastAsia" w:ascii="仿宋" w:hAnsi="仿宋" w:eastAsia="仿宋"/>
          <w:color w:val="1A1A1A"/>
          <w:sz w:val="29"/>
          <w:szCs w:val="29"/>
        </w:rPr>
        <w:t>按照</w:t>
      </w:r>
      <w:r>
        <w:rPr>
          <w:rFonts w:hint="eastAsia" w:ascii="仿宋" w:hAnsi="仿宋" w:eastAsia="仿宋"/>
          <w:color w:val="1A1A1A"/>
          <w:sz w:val="29"/>
          <w:szCs w:val="29"/>
          <w:lang w:val="en-US" w:eastAsia="zh-CN"/>
        </w:rPr>
        <w:t>院</w:t>
      </w:r>
      <w:r>
        <w:rPr>
          <w:rFonts w:hint="eastAsia" w:ascii="仿宋" w:hAnsi="仿宋" w:eastAsia="仿宋"/>
          <w:color w:val="1A1A1A"/>
          <w:sz w:val="29"/>
          <w:szCs w:val="29"/>
        </w:rPr>
        <w:t>方要求完成审计并出具《年报审计报告》、《内控风险评估报告》</w:t>
      </w:r>
      <w:r>
        <w:rPr>
          <w:rFonts w:hint="eastAsia" w:ascii="仿宋" w:hAnsi="仿宋" w:eastAsia="仿宋"/>
          <w:color w:val="1A1A1A"/>
          <w:sz w:val="29"/>
          <w:szCs w:val="29"/>
          <w:lang w:eastAsia="zh-CN"/>
        </w:rPr>
        <w:t>、《</w:t>
      </w:r>
      <w:r>
        <w:rPr>
          <w:rFonts w:hint="eastAsia" w:ascii="仿宋" w:hAnsi="仿宋" w:eastAsia="仿宋"/>
          <w:color w:val="1A1A1A"/>
          <w:sz w:val="29"/>
          <w:szCs w:val="29"/>
          <w:lang w:val="en-US" w:eastAsia="zh-CN"/>
        </w:rPr>
        <w:t>任期审计报告</w:t>
      </w:r>
      <w:r>
        <w:rPr>
          <w:rFonts w:hint="eastAsia" w:ascii="仿宋" w:hAnsi="仿宋" w:eastAsia="仿宋"/>
          <w:color w:val="1A1A1A"/>
          <w:sz w:val="29"/>
          <w:szCs w:val="29"/>
          <w:lang w:eastAsia="zh-CN"/>
        </w:rPr>
        <w:t>》</w:t>
      </w:r>
      <w:r>
        <w:rPr>
          <w:rFonts w:hint="eastAsia" w:ascii="仿宋" w:hAnsi="仿宋" w:eastAsia="仿宋"/>
          <w:color w:val="1A1A1A"/>
          <w:sz w:val="29"/>
          <w:szCs w:val="29"/>
        </w:rPr>
        <w:t>，</w:t>
      </w:r>
      <w:r>
        <w:rPr>
          <w:rFonts w:hint="eastAsia" w:ascii="仿宋" w:hAnsi="仿宋" w:eastAsia="仿宋"/>
          <w:color w:val="1A1A1A"/>
          <w:sz w:val="29"/>
          <w:szCs w:val="29"/>
          <w:lang w:val="en-US" w:eastAsia="zh-CN"/>
        </w:rPr>
        <w:t>事务所</w:t>
      </w:r>
      <w:r>
        <w:rPr>
          <w:rFonts w:hint="eastAsia" w:ascii="仿宋" w:hAnsi="仿宋" w:eastAsia="仿宋"/>
          <w:color w:val="1A1A1A"/>
          <w:sz w:val="29"/>
          <w:szCs w:val="29"/>
        </w:rPr>
        <w:t>开具符合国家规定的发票，</w:t>
      </w:r>
      <w:r>
        <w:rPr>
          <w:rFonts w:hint="eastAsia" w:ascii="仿宋" w:hAnsi="仿宋" w:eastAsia="仿宋"/>
          <w:color w:val="1A1A1A"/>
          <w:sz w:val="29"/>
          <w:szCs w:val="29"/>
          <w:lang w:val="en-US" w:eastAsia="zh-CN"/>
        </w:rPr>
        <w:t>院</w:t>
      </w:r>
      <w:r>
        <w:rPr>
          <w:rFonts w:hint="eastAsia" w:ascii="仿宋" w:hAnsi="仿宋" w:eastAsia="仿宋"/>
          <w:color w:val="1A1A1A"/>
          <w:sz w:val="29"/>
          <w:szCs w:val="29"/>
        </w:rPr>
        <w:t>方按正常流程向</w:t>
      </w:r>
      <w:r>
        <w:rPr>
          <w:rFonts w:hint="eastAsia" w:ascii="仿宋" w:hAnsi="仿宋" w:eastAsia="仿宋"/>
          <w:color w:val="1A1A1A"/>
          <w:sz w:val="29"/>
          <w:szCs w:val="29"/>
          <w:lang w:val="en-US" w:eastAsia="zh-CN"/>
        </w:rPr>
        <w:t>事务所</w:t>
      </w:r>
      <w:r>
        <w:rPr>
          <w:rFonts w:hint="eastAsia" w:ascii="仿宋" w:hAnsi="仿宋" w:eastAsia="仿宋"/>
          <w:color w:val="1A1A1A"/>
          <w:sz w:val="29"/>
          <w:szCs w:val="29"/>
        </w:rPr>
        <w:t>付全款。</w:t>
      </w:r>
      <w:r>
        <w:rPr>
          <w:rStyle w:val="7"/>
          <w:rFonts w:ascii="Calibri" w:hAnsi="Calibri" w:eastAsia="仿宋" w:cs="Calibri"/>
          <w:color w:val="1A1A1A"/>
          <w:sz w:val="29"/>
          <w:szCs w:val="29"/>
        </w:rPr>
        <w:t> </w:t>
      </w:r>
    </w:p>
    <w:p>
      <w:pPr>
        <w:pStyle w:val="3"/>
        <w:spacing w:before="0" w:beforeAutospacing="0" w:after="0" w:afterAutospacing="0" w:line="540" w:lineRule="atLeast"/>
        <w:ind w:firstLine="580" w:firstLineChars="200"/>
        <w:rPr>
          <w:rFonts w:ascii="微软雅黑" w:hAnsi="微软雅黑" w:eastAsia="微软雅黑"/>
          <w:color w:val="1A1A1A"/>
        </w:rPr>
      </w:pPr>
      <w:r>
        <w:rPr>
          <w:rFonts w:hint="eastAsia" w:ascii="微软雅黑" w:hAnsi="微软雅黑" w:eastAsia="微软雅黑"/>
          <w:color w:val="1A1A1A"/>
          <w:sz w:val="29"/>
          <w:szCs w:val="29"/>
        </w:rPr>
        <w:t>六、申请机构的资格要求</w:t>
      </w:r>
    </w:p>
    <w:p>
      <w:pPr>
        <w:pStyle w:val="4"/>
        <w:spacing w:before="0" w:beforeAutospacing="0" w:after="0" w:afterAutospacing="0"/>
        <w:ind w:firstLine="580" w:firstLineChars="200"/>
        <w:rPr>
          <w:rFonts w:ascii="微软雅黑" w:hAnsi="微软雅黑" w:eastAsia="微软雅黑"/>
          <w:color w:val="1A1A1A"/>
        </w:rPr>
      </w:pPr>
      <w:r>
        <w:rPr>
          <w:rFonts w:hint="eastAsia" w:ascii="仿宋" w:hAnsi="仿宋" w:eastAsia="仿宋"/>
          <w:color w:val="1A1A1A"/>
          <w:sz w:val="29"/>
          <w:szCs w:val="29"/>
        </w:rPr>
        <w:t>1. 依法设立，</w:t>
      </w:r>
      <w:r>
        <w:rPr>
          <w:rFonts w:hint="eastAsia" w:ascii="仿宋_GB2312" w:hAnsi="微软雅黑" w:eastAsia="仿宋_GB2312"/>
          <w:color w:val="333333"/>
          <w:sz w:val="29"/>
          <w:szCs w:val="29"/>
        </w:rPr>
        <w:t>具有独立法人资格和合法执业资格，</w:t>
      </w:r>
      <w:r>
        <w:rPr>
          <w:rFonts w:hint="eastAsia" w:ascii="仿宋" w:hAnsi="仿宋" w:eastAsia="仿宋"/>
          <w:color w:val="1A1A1A"/>
          <w:sz w:val="29"/>
          <w:szCs w:val="29"/>
        </w:rPr>
        <w:t>合法经营，无违法、违规记录；</w:t>
      </w:r>
    </w:p>
    <w:p>
      <w:pPr>
        <w:pStyle w:val="4"/>
        <w:spacing w:before="0" w:beforeAutospacing="0" w:after="0" w:afterAutospacing="0"/>
        <w:ind w:left="210" w:leftChars="100" w:firstLine="290" w:firstLineChars="100"/>
        <w:rPr>
          <w:rFonts w:ascii="仿宋" w:hAnsi="仿宋" w:eastAsia="仿宋"/>
          <w:color w:val="1A1A1A"/>
          <w:sz w:val="29"/>
          <w:szCs w:val="29"/>
        </w:rPr>
      </w:pPr>
      <w:r>
        <w:rPr>
          <w:rFonts w:hint="eastAsia" w:ascii="仿宋" w:hAnsi="仿宋" w:eastAsia="仿宋"/>
          <w:color w:val="1A1A1A"/>
          <w:sz w:val="29"/>
          <w:szCs w:val="29"/>
          <w:shd w:val="clear" w:color="auto" w:fill="FFFFFF" w:themeFill="background1"/>
        </w:rPr>
        <w:t>2.</w:t>
      </w:r>
      <w:r>
        <w:rPr>
          <w:rFonts w:hint="eastAsia" w:ascii="仿宋_GB2312" w:hAnsi="微软雅黑" w:eastAsia="仿宋_GB2312"/>
          <w:color w:val="333333"/>
          <w:sz w:val="29"/>
          <w:szCs w:val="29"/>
          <w:shd w:val="clear" w:color="auto" w:fill="FFFFFF" w:themeFill="background1"/>
        </w:rPr>
        <w:t xml:space="preserve"> 具有相应的财务能力、技术能力，从事相关审计业务的经验不少于三年；</w:t>
      </w:r>
    </w:p>
    <w:p>
      <w:pPr>
        <w:pStyle w:val="4"/>
        <w:spacing w:before="0" w:beforeAutospacing="0" w:after="0" w:afterAutospacing="0"/>
        <w:ind w:firstLine="290" w:firstLineChars="100"/>
        <w:rPr>
          <w:rFonts w:ascii="微软雅黑" w:hAnsi="微软雅黑" w:eastAsia="微软雅黑"/>
          <w:color w:val="1A1A1A"/>
        </w:rPr>
      </w:pPr>
      <w:r>
        <w:rPr>
          <w:rFonts w:hint="eastAsia" w:ascii="仿宋" w:hAnsi="仿宋" w:eastAsia="仿宋"/>
          <w:color w:val="1A1A1A"/>
          <w:sz w:val="29"/>
          <w:szCs w:val="29"/>
        </w:rPr>
        <w:t xml:space="preserve"> 3. </w:t>
      </w:r>
      <w:r>
        <w:rPr>
          <w:rFonts w:hint="eastAsia" w:ascii="仿宋_GB2312" w:hAnsi="微软雅黑" w:eastAsia="仿宋_GB2312"/>
          <w:color w:val="333333"/>
          <w:sz w:val="29"/>
          <w:szCs w:val="29"/>
        </w:rPr>
        <w:t>具有良好的商业信誉、没有不良记录或被国家有关部门处罚；没有处于财产被接管、冻结、破产的状态</w:t>
      </w:r>
      <w:r>
        <w:rPr>
          <w:rFonts w:hint="eastAsia" w:ascii="仿宋" w:hAnsi="仿宋" w:eastAsia="仿宋"/>
          <w:color w:val="1A1A1A"/>
          <w:sz w:val="29"/>
          <w:szCs w:val="29"/>
        </w:rPr>
        <w:t>；</w:t>
      </w:r>
    </w:p>
    <w:p>
      <w:pPr>
        <w:pStyle w:val="4"/>
        <w:spacing w:before="0" w:beforeAutospacing="0" w:after="0" w:afterAutospacing="0"/>
        <w:ind w:firstLine="580" w:firstLineChars="200"/>
        <w:rPr>
          <w:rFonts w:ascii="微软雅黑" w:hAnsi="微软雅黑" w:eastAsia="微软雅黑"/>
          <w:color w:val="1A1A1A"/>
        </w:rPr>
      </w:pPr>
      <w:r>
        <w:rPr>
          <w:rFonts w:hint="eastAsia" w:ascii="仿宋" w:hAnsi="仿宋" w:eastAsia="仿宋"/>
          <w:color w:val="1A1A1A"/>
          <w:sz w:val="29"/>
          <w:szCs w:val="29"/>
        </w:rPr>
        <w:t>4. 具有对医疗行业相关的审计经验；</w:t>
      </w:r>
    </w:p>
    <w:p>
      <w:pPr>
        <w:pStyle w:val="4"/>
        <w:spacing w:before="0" w:beforeAutospacing="0" w:after="0" w:afterAutospacing="0" w:line="360" w:lineRule="atLeast"/>
        <w:ind w:firstLine="555"/>
        <w:rPr>
          <w:rFonts w:ascii="微软雅黑" w:hAnsi="微软雅黑" w:eastAsia="微软雅黑"/>
          <w:color w:val="1A1A1A"/>
        </w:rPr>
      </w:pPr>
      <w:r>
        <w:rPr>
          <w:rFonts w:hint="eastAsia" w:ascii="仿宋_GB2312" w:hAnsi="微软雅黑" w:eastAsia="仿宋_GB2312"/>
          <w:color w:val="333333"/>
          <w:sz w:val="29"/>
          <w:szCs w:val="29"/>
        </w:rPr>
        <w:t>5.法律、行政法规规定的其他条件</w:t>
      </w:r>
      <w:r>
        <w:rPr>
          <w:rFonts w:hint="eastAsia" w:ascii="仿宋" w:hAnsi="仿宋" w:eastAsia="仿宋"/>
          <w:color w:val="1A1A1A"/>
          <w:sz w:val="29"/>
          <w:szCs w:val="29"/>
        </w:rPr>
        <w:t>。</w:t>
      </w:r>
    </w:p>
    <w:p>
      <w:pPr>
        <w:pStyle w:val="2"/>
        <w:ind w:firstLine="602" w:firstLineChars="200"/>
        <w:jc w:val="left"/>
        <w:rPr>
          <w:b/>
          <w:sz w:val="30"/>
          <w:szCs w:val="30"/>
        </w:rPr>
      </w:pPr>
      <w:r>
        <w:rPr>
          <w:rFonts w:hint="eastAsia"/>
          <w:b/>
          <w:sz w:val="30"/>
          <w:szCs w:val="30"/>
          <w:lang w:val="en-US" w:eastAsia="zh-CN"/>
        </w:rPr>
        <w:t>七、</w:t>
      </w:r>
      <w:r>
        <w:rPr>
          <w:rFonts w:hint="eastAsia"/>
          <w:b/>
          <w:sz w:val="30"/>
          <w:szCs w:val="30"/>
        </w:rPr>
        <w:t>评分标准</w:t>
      </w:r>
    </w:p>
    <w:tbl>
      <w:tblPr>
        <w:tblStyle w:val="5"/>
        <w:tblW w:w="88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1064"/>
        <w:gridCol w:w="1904"/>
        <w:gridCol w:w="5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1812" w:type="dxa"/>
            <w:gridSpan w:val="2"/>
            <w:vAlign w:val="center"/>
          </w:tcPr>
          <w:p>
            <w:pPr>
              <w:spacing w:line="360" w:lineRule="auto"/>
              <w:jc w:val="center"/>
              <w:rPr>
                <w:rFonts w:ascii="宋体" w:hAnsi="宋体"/>
                <w:b/>
                <w:szCs w:val="21"/>
              </w:rPr>
            </w:pPr>
            <w:r>
              <w:rPr>
                <w:rFonts w:ascii="宋体" w:hAnsi="宋体"/>
                <w:b/>
                <w:szCs w:val="21"/>
              </w:rPr>
              <w:t>条款号</w:t>
            </w:r>
          </w:p>
        </w:tc>
        <w:tc>
          <w:tcPr>
            <w:tcW w:w="1904" w:type="dxa"/>
            <w:vAlign w:val="center"/>
          </w:tcPr>
          <w:p>
            <w:pPr>
              <w:spacing w:line="360" w:lineRule="auto"/>
              <w:jc w:val="center"/>
              <w:rPr>
                <w:rFonts w:ascii="宋体" w:hAnsi="宋体"/>
                <w:b/>
                <w:szCs w:val="21"/>
              </w:rPr>
            </w:pPr>
            <w:r>
              <w:rPr>
                <w:rFonts w:ascii="宋体" w:hAnsi="宋体"/>
                <w:b/>
                <w:szCs w:val="21"/>
              </w:rPr>
              <w:t>条款内容</w:t>
            </w:r>
          </w:p>
        </w:tc>
        <w:tc>
          <w:tcPr>
            <w:tcW w:w="5113" w:type="dxa"/>
            <w:vAlign w:val="center"/>
          </w:tcPr>
          <w:p>
            <w:pPr>
              <w:spacing w:line="360" w:lineRule="auto"/>
              <w:jc w:val="center"/>
              <w:rPr>
                <w:rFonts w:ascii="宋体" w:hAnsi="宋体"/>
                <w:b/>
                <w:szCs w:val="21"/>
              </w:rPr>
            </w:pPr>
            <w:r>
              <w:rPr>
                <w:rFonts w:ascii="宋体" w:hAnsi="宋体"/>
                <w:b/>
                <w:szCs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jc w:val="center"/>
        </w:trPr>
        <w:tc>
          <w:tcPr>
            <w:tcW w:w="1812" w:type="dxa"/>
            <w:gridSpan w:val="2"/>
            <w:vAlign w:val="center"/>
          </w:tcPr>
          <w:p>
            <w:pPr>
              <w:spacing w:line="360" w:lineRule="auto"/>
              <w:jc w:val="center"/>
              <w:rPr>
                <w:rFonts w:ascii="宋体" w:hAnsi="宋体"/>
                <w:szCs w:val="21"/>
              </w:rPr>
            </w:pPr>
            <w:r>
              <w:rPr>
                <w:rFonts w:ascii="宋体" w:hAnsi="宋体"/>
                <w:szCs w:val="21"/>
              </w:rPr>
              <w:t>2.2.1</w:t>
            </w:r>
          </w:p>
        </w:tc>
        <w:tc>
          <w:tcPr>
            <w:tcW w:w="1904" w:type="dxa"/>
            <w:vAlign w:val="center"/>
          </w:tcPr>
          <w:p>
            <w:pPr>
              <w:spacing w:line="360" w:lineRule="auto"/>
              <w:jc w:val="center"/>
              <w:rPr>
                <w:rFonts w:ascii="宋体" w:hAnsi="宋体"/>
                <w:szCs w:val="21"/>
              </w:rPr>
            </w:pPr>
            <w:r>
              <w:rPr>
                <w:rFonts w:ascii="宋体" w:hAnsi="宋体"/>
                <w:szCs w:val="21"/>
              </w:rPr>
              <w:t>分值构成</w:t>
            </w:r>
          </w:p>
          <w:p>
            <w:pPr>
              <w:spacing w:line="360" w:lineRule="auto"/>
              <w:jc w:val="center"/>
              <w:rPr>
                <w:rFonts w:ascii="宋体" w:hAnsi="宋体"/>
                <w:szCs w:val="21"/>
              </w:rPr>
            </w:pPr>
            <w:r>
              <w:rPr>
                <w:rFonts w:ascii="宋体" w:hAnsi="宋体"/>
                <w:szCs w:val="21"/>
              </w:rPr>
              <w:t>（总分100分）</w:t>
            </w:r>
          </w:p>
        </w:tc>
        <w:tc>
          <w:tcPr>
            <w:tcW w:w="5113" w:type="dxa"/>
            <w:vAlign w:val="center"/>
          </w:tcPr>
          <w:p>
            <w:pPr>
              <w:spacing w:line="360" w:lineRule="auto"/>
              <w:ind w:firstLine="210" w:firstLineChars="100"/>
              <w:rPr>
                <w:rFonts w:ascii="宋体" w:hAnsi="宋体"/>
                <w:szCs w:val="21"/>
              </w:rPr>
            </w:pPr>
            <w:r>
              <w:rPr>
                <w:rFonts w:hint="eastAsia" w:ascii="宋体" w:hAnsi="宋体"/>
                <w:szCs w:val="21"/>
              </w:rPr>
              <w:t>报价部分：10分</w:t>
            </w:r>
          </w:p>
          <w:p>
            <w:pPr>
              <w:spacing w:line="360" w:lineRule="auto"/>
              <w:ind w:firstLine="210" w:firstLineChars="100"/>
              <w:rPr>
                <w:rFonts w:ascii="宋体" w:hAnsi="宋体"/>
                <w:szCs w:val="21"/>
              </w:rPr>
            </w:pPr>
            <w:r>
              <w:rPr>
                <w:rFonts w:hint="eastAsia" w:ascii="宋体" w:hAnsi="宋体"/>
                <w:szCs w:val="21"/>
              </w:rPr>
              <w:t>技术部分：50分</w:t>
            </w:r>
          </w:p>
          <w:p>
            <w:pPr>
              <w:spacing w:line="360" w:lineRule="auto"/>
              <w:ind w:firstLine="210" w:firstLineChars="100"/>
              <w:rPr>
                <w:rFonts w:ascii="宋体" w:hAnsi="宋体"/>
                <w:szCs w:val="21"/>
              </w:rPr>
            </w:pPr>
            <w:r>
              <w:rPr>
                <w:rFonts w:hint="eastAsia" w:ascii="宋体" w:hAnsi="宋体"/>
                <w:szCs w:val="21"/>
              </w:rPr>
              <w:t>商务部分：40分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748" w:type="dxa"/>
            <w:vAlign w:val="center"/>
          </w:tcPr>
          <w:p>
            <w:pPr>
              <w:spacing w:line="360" w:lineRule="auto"/>
              <w:jc w:val="center"/>
              <w:rPr>
                <w:rFonts w:ascii="宋体" w:hAnsi="宋体"/>
                <w:szCs w:val="21"/>
              </w:rPr>
            </w:pPr>
            <w:r>
              <w:rPr>
                <w:rFonts w:hint="eastAsia" w:ascii="宋体" w:hAnsi="宋体"/>
                <w:szCs w:val="21"/>
              </w:rPr>
              <w:t>2.2.2</w:t>
            </w:r>
          </w:p>
          <w:p>
            <w:pPr>
              <w:spacing w:line="360" w:lineRule="auto"/>
              <w:jc w:val="center"/>
              <w:rPr>
                <w:rFonts w:ascii="宋体" w:hAnsi="宋体"/>
                <w:szCs w:val="21"/>
              </w:rPr>
            </w:pPr>
            <w:r>
              <w:rPr>
                <w:rFonts w:hint="eastAsia" w:ascii="宋体" w:hAnsi="宋体"/>
                <w:szCs w:val="21"/>
              </w:rPr>
              <w:t>（1）</w:t>
            </w:r>
          </w:p>
        </w:tc>
        <w:tc>
          <w:tcPr>
            <w:tcW w:w="1064" w:type="dxa"/>
            <w:vAlign w:val="center"/>
          </w:tcPr>
          <w:p>
            <w:pPr>
              <w:spacing w:line="360" w:lineRule="auto"/>
              <w:jc w:val="center"/>
              <w:rPr>
                <w:rFonts w:ascii="宋体" w:hAnsi="宋体"/>
                <w:szCs w:val="21"/>
              </w:rPr>
            </w:pPr>
            <w:r>
              <w:rPr>
                <w:rFonts w:hint="eastAsia" w:ascii="宋体" w:hAnsi="宋体"/>
                <w:szCs w:val="21"/>
              </w:rPr>
              <w:t>报价部分评分标准</w:t>
            </w:r>
          </w:p>
          <w:p>
            <w:pPr>
              <w:spacing w:line="360" w:lineRule="auto"/>
              <w:jc w:val="center"/>
              <w:rPr>
                <w:rFonts w:ascii="宋体" w:hAnsi="宋体"/>
                <w:szCs w:val="21"/>
              </w:rPr>
            </w:pPr>
            <w:r>
              <w:rPr>
                <w:rFonts w:hint="eastAsia" w:ascii="宋体" w:hAnsi="宋体"/>
                <w:szCs w:val="21"/>
              </w:rPr>
              <w:t>（10分）</w:t>
            </w:r>
          </w:p>
        </w:tc>
        <w:tc>
          <w:tcPr>
            <w:tcW w:w="1904" w:type="dxa"/>
            <w:vAlign w:val="center"/>
          </w:tcPr>
          <w:p>
            <w:pPr>
              <w:spacing w:line="312" w:lineRule="auto"/>
              <w:jc w:val="center"/>
              <w:rPr>
                <w:rFonts w:ascii="宋体" w:hAnsi="宋体" w:cs="宋体"/>
                <w:sz w:val="24"/>
                <w:szCs w:val="24"/>
              </w:rPr>
            </w:pPr>
            <w:r>
              <w:rPr>
                <w:rFonts w:hint="eastAsia"/>
                <w:szCs w:val="21"/>
              </w:rPr>
              <w:t>投标报价</w:t>
            </w:r>
          </w:p>
        </w:tc>
        <w:tc>
          <w:tcPr>
            <w:tcW w:w="5113" w:type="dxa"/>
            <w:vAlign w:val="center"/>
          </w:tcPr>
          <w:p>
            <w:pPr>
              <w:spacing w:line="360" w:lineRule="auto"/>
              <w:ind w:firstLine="210" w:firstLineChars="100"/>
              <w:rPr>
                <w:rFonts w:ascii="宋体" w:hAnsi="宋体" w:cs="宋体"/>
                <w:kern w:val="0"/>
                <w:sz w:val="24"/>
                <w:szCs w:val="24"/>
                <w:highlight w:val="green"/>
              </w:rPr>
            </w:pPr>
            <w:r>
              <w:rPr>
                <w:rFonts w:hint="eastAsia" w:ascii="宋体" w:hAnsi="宋体"/>
                <w:szCs w:val="21"/>
              </w:rPr>
              <w:t>价格分统一采用低价优先法计算，即满足招标文件要求且报价最低的为评标基准价，其价格分为满分。其他投标人的价格分统一按照下列公式计算：报价得分=（评标基准价/投标人报价）×10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748" w:type="dxa"/>
            <w:vMerge w:val="restart"/>
            <w:vAlign w:val="center"/>
          </w:tcPr>
          <w:p>
            <w:pPr>
              <w:spacing w:line="360" w:lineRule="auto"/>
              <w:jc w:val="center"/>
              <w:rPr>
                <w:rFonts w:ascii="宋体" w:hAnsi="宋体"/>
                <w:szCs w:val="21"/>
              </w:rPr>
            </w:pPr>
            <w:r>
              <w:rPr>
                <w:rFonts w:hint="eastAsia" w:ascii="宋体" w:hAnsi="宋体"/>
                <w:szCs w:val="21"/>
              </w:rPr>
              <w:t>2.2.2</w:t>
            </w:r>
          </w:p>
          <w:p>
            <w:pPr>
              <w:spacing w:line="360" w:lineRule="auto"/>
              <w:jc w:val="center"/>
              <w:rPr>
                <w:rFonts w:ascii="宋体" w:hAnsi="宋体"/>
                <w:szCs w:val="21"/>
              </w:rPr>
            </w:pPr>
            <w:r>
              <w:rPr>
                <w:rFonts w:hint="eastAsia" w:ascii="宋体" w:hAnsi="宋体"/>
                <w:szCs w:val="21"/>
              </w:rPr>
              <w:t>（2）</w:t>
            </w:r>
          </w:p>
        </w:tc>
        <w:tc>
          <w:tcPr>
            <w:tcW w:w="1064" w:type="dxa"/>
            <w:vMerge w:val="restart"/>
            <w:vAlign w:val="center"/>
          </w:tcPr>
          <w:p>
            <w:pPr>
              <w:spacing w:line="360" w:lineRule="auto"/>
              <w:jc w:val="center"/>
              <w:rPr>
                <w:rFonts w:ascii="宋体" w:hAnsi="宋体"/>
                <w:szCs w:val="21"/>
              </w:rPr>
            </w:pPr>
            <w:r>
              <w:rPr>
                <w:rFonts w:hint="eastAsia" w:ascii="宋体" w:hAnsi="宋体"/>
                <w:szCs w:val="21"/>
              </w:rPr>
              <w:t>技术部分评分标准</w:t>
            </w:r>
          </w:p>
          <w:p>
            <w:pPr>
              <w:spacing w:line="360" w:lineRule="auto"/>
              <w:jc w:val="center"/>
              <w:rPr>
                <w:rFonts w:ascii="宋体" w:hAnsi="宋体"/>
                <w:szCs w:val="21"/>
              </w:rPr>
            </w:pPr>
            <w:r>
              <w:rPr>
                <w:rFonts w:hint="eastAsia" w:ascii="宋体" w:hAnsi="宋体"/>
                <w:szCs w:val="21"/>
              </w:rPr>
              <w:t>（50分）</w:t>
            </w:r>
          </w:p>
        </w:tc>
        <w:tc>
          <w:tcPr>
            <w:tcW w:w="1904" w:type="dxa"/>
            <w:vAlign w:val="center"/>
          </w:tcPr>
          <w:p>
            <w:pPr>
              <w:spacing w:line="312" w:lineRule="auto"/>
              <w:jc w:val="center"/>
              <w:rPr>
                <w:szCs w:val="21"/>
              </w:rPr>
            </w:pPr>
            <w:r>
              <w:rPr>
                <w:rFonts w:hint="eastAsia"/>
                <w:szCs w:val="21"/>
              </w:rPr>
              <w:t>总体工作方案</w:t>
            </w:r>
          </w:p>
          <w:p>
            <w:pPr>
              <w:spacing w:line="312" w:lineRule="auto"/>
              <w:jc w:val="center"/>
              <w:rPr>
                <w:rFonts w:ascii="宋体" w:hAnsi="宋体"/>
                <w:szCs w:val="21"/>
              </w:rPr>
            </w:pPr>
            <w:r>
              <w:rPr>
                <w:rFonts w:hint="eastAsia"/>
                <w:szCs w:val="21"/>
              </w:rPr>
              <w:t>（20分）</w:t>
            </w:r>
          </w:p>
        </w:tc>
        <w:tc>
          <w:tcPr>
            <w:tcW w:w="5113" w:type="dxa"/>
            <w:vAlign w:val="center"/>
          </w:tcPr>
          <w:p>
            <w:pPr>
              <w:spacing w:line="312" w:lineRule="auto"/>
              <w:rPr>
                <w:rFonts w:ascii="宋体" w:hAnsi="宋体"/>
                <w:szCs w:val="21"/>
              </w:rPr>
            </w:pPr>
            <w:r>
              <w:rPr>
                <w:rFonts w:hint="eastAsia"/>
                <w:szCs w:val="21"/>
              </w:rPr>
              <w:t>总体工作方案先进可行，技术措施合理科学，规范可靠的得15-20分，一般得8-14分，否则得1-7分；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748" w:type="dxa"/>
            <w:vMerge w:val="continue"/>
            <w:vAlign w:val="center"/>
          </w:tcPr>
          <w:p>
            <w:pPr>
              <w:spacing w:line="360" w:lineRule="auto"/>
              <w:jc w:val="center"/>
              <w:rPr>
                <w:rFonts w:ascii="宋体" w:hAnsi="宋体"/>
                <w:szCs w:val="21"/>
              </w:rPr>
            </w:pPr>
          </w:p>
        </w:tc>
        <w:tc>
          <w:tcPr>
            <w:tcW w:w="1064" w:type="dxa"/>
            <w:vMerge w:val="continue"/>
            <w:vAlign w:val="center"/>
          </w:tcPr>
          <w:p>
            <w:pPr>
              <w:spacing w:line="360" w:lineRule="auto"/>
              <w:jc w:val="center"/>
              <w:rPr>
                <w:rFonts w:ascii="宋体" w:hAnsi="宋体"/>
                <w:szCs w:val="21"/>
              </w:rPr>
            </w:pPr>
          </w:p>
        </w:tc>
        <w:tc>
          <w:tcPr>
            <w:tcW w:w="1904" w:type="dxa"/>
            <w:vAlign w:val="center"/>
          </w:tcPr>
          <w:p>
            <w:pPr>
              <w:spacing w:line="312" w:lineRule="auto"/>
              <w:jc w:val="center"/>
              <w:rPr>
                <w:szCs w:val="21"/>
              </w:rPr>
            </w:pPr>
            <w:r>
              <w:rPr>
                <w:rFonts w:hint="eastAsia"/>
                <w:szCs w:val="21"/>
              </w:rPr>
              <w:t>项目工作质量控制措施和方法</w:t>
            </w:r>
          </w:p>
          <w:p>
            <w:pPr>
              <w:spacing w:line="312" w:lineRule="auto"/>
              <w:jc w:val="center"/>
              <w:rPr>
                <w:rFonts w:ascii="宋体" w:hAnsi="宋体"/>
                <w:szCs w:val="21"/>
              </w:rPr>
            </w:pPr>
            <w:r>
              <w:rPr>
                <w:rFonts w:hint="eastAsia"/>
                <w:szCs w:val="21"/>
              </w:rPr>
              <w:t>（10分）</w:t>
            </w:r>
          </w:p>
        </w:tc>
        <w:tc>
          <w:tcPr>
            <w:tcW w:w="5113" w:type="dxa"/>
            <w:vAlign w:val="center"/>
          </w:tcPr>
          <w:p>
            <w:pPr>
              <w:spacing w:line="312" w:lineRule="auto"/>
              <w:rPr>
                <w:rFonts w:ascii="宋体" w:hAnsi="宋体"/>
                <w:szCs w:val="21"/>
              </w:rPr>
            </w:pPr>
            <w:r>
              <w:rPr>
                <w:rFonts w:hint="eastAsia"/>
                <w:szCs w:val="21"/>
              </w:rPr>
              <w:t>项目工作质量控制措施和方法科学可行，合理有效的得7-10分，一般得3-6分，否则得1-2分；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748" w:type="dxa"/>
            <w:vMerge w:val="continue"/>
            <w:vAlign w:val="center"/>
          </w:tcPr>
          <w:p>
            <w:pPr>
              <w:spacing w:line="360" w:lineRule="auto"/>
              <w:jc w:val="center"/>
              <w:rPr>
                <w:rFonts w:ascii="宋体" w:hAnsi="宋体"/>
                <w:szCs w:val="21"/>
              </w:rPr>
            </w:pPr>
          </w:p>
        </w:tc>
        <w:tc>
          <w:tcPr>
            <w:tcW w:w="1064" w:type="dxa"/>
            <w:vMerge w:val="continue"/>
            <w:vAlign w:val="center"/>
          </w:tcPr>
          <w:p>
            <w:pPr>
              <w:spacing w:line="360" w:lineRule="auto"/>
              <w:jc w:val="center"/>
              <w:rPr>
                <w:rFonts w:ascii="宋体" w:hAnsi="宋体"/>
                <w:szCs w:val="21"/>
              </w:rPr>
            </w:pPr>
          </w:p>
        </w:tc>
        <w:tc>
          <w:tcPr>
            <w:tcW w:w="1904" w:type="dxa"/>
            <w:vAlign w:val="center"/>
          </w:tcPr>
          <w:p>
            <w:pPr>
              <w:spacing w:line="312" w:lineRule="auto"/>
              <w:jc w:val="center"/>
              <w:rPr>
                <w:szCs w:val="21"/>
              </w:rPr>
            </w:pPr>
            <w:r>
              <w:rPr>
                <w:rFonts w:hint="eastAsia"/>
                <w:szCs w:val="21"/>
              </w:rPr>
              <w:t>项目的档案管理措施和方法</w:t>
            </w:r>
          </w:p>
          <w:p>
            <w:pPr>
              <w:spacing w:line="312" w:lineRule="auto"/>
              <w:jc w:val="center"/>
              <w:rPr>
                <w:rFonts w:ascii="宋体" w:hAnsi="宋体"/>
                <w:szCs w:val="21"/>
              </w:rPr>
            </w:pPr>
            <w:r>
              <w:rPr>
                <w:rFonts w:hint="eastAsia"/>
                <w:szCs w:val="21"/>
              </w:rPr>
              <w:t>（10分）</w:t>
            </w:r>
          </w:p>
        </w:tc>
        <w:tc>
          <w:tcPr>
            <w:tcW w:w="5113" w:type="dxa"/>
            <w:vAlign w:val="center"/>
          </w:tcPr>
          <w:p>
            <w:pPr>
              <w:spacing w:line="312" w:lineRule="auto"/>
              <w:rPr>
                <w:rFonts w:ascii="宋体" w:hAnsi="宋体"/>
                <w:szCs w:val="21"/>
              </w:rPr>
            </w:pPr>
            <w:r>
              <w:rPr>
                <w:rFonts w:hint="eastAsia"/>
                <w:szCs w:val="21"/>
              </w:rPr>
              <w:t>项目档案管理措施和方法科学可行，合理有效的得7-10分，一般得3-6分，否则得1-2分；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748" w:type="dxa"/>
            <w:vMerge w:val="continue"/>
            <w:vAlign w:val="center"/>
          </w:tcPr>
          <w:p>
            <w:pPr>
              <w:spacing w:line="360" w:lineRule="auto"/>
              <w:jc w:val="center"/>
              <w:rPr>
                <w:rFonts w:ascii="宋体" w:hAnsi="宋体"/>
                <w:szCs w:val="21"/>
              </w:rPr>
            </w:pPr>
          </w:p>
        </w:tc>
        <w:tc>
          <w:tcPr>
            <w:tcW w:w="1064" w:type="dxa"/>
            <w:vMerge w:val="continue"/>
            <w:vAlign w:val="center"/>
          </w:tcPr>
          <w:p>
            <w:pPr>
              <w:spacing w:line="360" w:lineRule="auto"/>
              <w:jc w:val="center"/>
              <w:rPr>
                <w:rFonts w:ascii="宋体" w:hAnsi="宋体"/>
                <w:szCs w:val="21"/>
              </w:rPr>
            </w:pPr>
          </w:p>
        </w:tc>
        <w:tc>
          <w:tcPr>
            <w:tcW w:w="1904" w:type="dxa"/>
            <w:vAlign w:val="center"/>
          </w:tcPr>
          <w:p>
            <w:pPr>
              <w:spacing w:line="312" w:lineRule="auto"/>
              <w:jc w:val="center"/>
              <w:rPr>
                <w:szCs w:val="21"/>
              </w:rPr>
            </w:pPr>
            <w:r>
              <w:rPr>
                <w:rFonts w:hint="eastAsia"/>
                <w:szCs w:val="21"/>
              </w:rPr>
              <w:t>机构设置与</w:t>
            </w:r>
          </w:p>
          <w:p>
            <w:pPr>
              <w:spacing w:line="312" w:lineRule="auto"/>
              <w:jc w:val="center"/>
              <w:rPr>
                <w:szCs w:val="21"/>
              </w:rPr>
            </w:pPr>
            <w:r>
              <w:rPr>
                <w:rFonts w:hint="eastAsia"/>
                <w:szCs w:val="21"/>
              </w:rPr>
              <w:t>管理制度</w:t>
            </w:r>
          </w:p>
          <w:p>
            <w:pPr>
              <w:spacing w:line="312" w:lineRule="auto"/>
              <w:jc w:val="center"/>
              <w:rPr>
                <w:szCs w:val="21"/>
              </w:rPr>
            </w:pPr>
            <w:r>
              <w:rPr>
                <w:rFonts w:hint="eastAsia"/>
                <w:szCs w:val="21"/>
              </w:rPr>
              <w:t>（10分）</w:t>
            </w:r>
          </w:p>
        </w:tc>
        <w:tc>
          <w:tcPr>
            <w:tcW w:w="5113" w:type="dxa"/>
            <w:vAlign w:val="center"/>
          </w:tcPr>
          <w:p>
            <w:pPr>
              <w:spacing w:line="312" w:lineRule="auto"/>
              <w:rPr>
                <w:szCs w:val="21"/>
              </w:rPr>
            </w:pPr>
            <w:r>
              <w:rPr>
                <w:rFonts w:hint="eastAsia"/>
                <w:szCs w:val="21"/>
              </w:rPr>
              <w:t>根据企业机构设置是否合理、分工是否明确、各个环节是否设置有相应的机构和制度情况，完善得7-10分，一般得3-6分，否则得1-2分；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748" w:type="dxa"/>
            <w:vMerge w:val="continue"/>
            <w:vAlign w:val="center"/>
          </w:tcPr>
          <w:p>
            <w:pPr>
              <w:spacing w:line="360" w:lineRule="auto"/>
              <w:jc w:val="center"/>
              <w:rPr>
                <w:rFonts w:ascii="宋体" w:hAnsi="宋体"/>
                <w:szCs w:val="21"/>
              </w:rPr>
            </w:pPr>
          </w:p>
        </w:tc>
        <w:tc>
          <w:tcPr>
            <w:tcW w:w="1064" w:type="dxa"/>
            <w:vMerge w:val="continue"/>
            <w:vAlign w:val="center"/>
          </w:tcPr>
          <w:p>
            <w:pPr>
              <w:spacing w:line="360" w:lineRule="auto"/>
              <w:jc w:val="center"/>
              <w:rPr>
                <w:rFonts w:ascii="宋体" w:hAnsi="宋体"/>
                <w:szCs w:val="21"/>
              </w:rPr>
            </w:pPr>
          </w:p>
        </w:tc>
        <w:tc>
          <w:tcPr>
            <w:tcW w:w="7017" w:type="dxa"/>
            <w:gridSpan w:val="2"/>
            <w:vAlign w:val="center"/>
          </w:tcPr>
          <w:p>
            <w:pPr>
              <w:spacing w:line="312" w:lineRule="auto"/>
              <w:rPr>
                <w:rFonts w:ascii="宋体" w:hAnsi="宋体"/>
                <w:szCs w:val="21"/>
              </w:rPr>
            </w:pPr>
            <w:r>
              <w:rPr>
                <w:rFonts w:hint="eastAsia"/>
                <w:szCs w:val="21"/>
              </w:rPr>
              <w:t>注：以上如有缺项，该小项计0分。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8" w:hRule="atLeast"/>
          <w:jc w:val="center"/>
        </w:trPr>
        <w:tc>
          <w:tcPr>
            <w:tcW w:w="748" w:type="dxa"/>
            <w:vMerge w:val="restart"/>
            <w:vAlign w:val="center"/>
          </w:tcPr>
          <w:p>
            <w:pPr>
              <w:spacing w:line="360" w:lineRule="auto"/>
              <w:jc w:val="center"/>
              <w:rPr>
                <w:rFonts w:ascii="宋体" w:hAnsi="宋体"/>
                <w:szCs w:val="21"/>
              </w:rPr>
            </w:pPr>
            <w:r>
              <w:rPr>
                <w:rFonts w:hint="eastAsia" w:ascii="宋体" w:hAnsi="宋体"/>
                <w:szCs w:val="21"/>
              </w:rPr>
              <w:t>2.2.2（3）</w:t>
            </w:r>
          </w:p>
        </w:tc>
        <w:tc>
          <w:tcPr>
            <w:tcW w:w="1064" w:type="dxa"/>
            <w:vMerge w:val="restart"/>
            <w:vAlign w:val="center"/>
          </w:tcPr>
          <w:p>
            <w:pPr>
              <w:spacing w:line="360" w:lineRule="auto"/>
              <w:jc w:val="center"/>
            </w:pPr>
            <w:r>
              <w:rPr>
                <w:rFonts w:hint="eastAsia"/>
              </w:rPr>
              <w:t>商务部分评分标准</w:t>
            </w:r>
          </w:p>
          <w:p>
            <w:pPr>
              <w:pStyle w:val="2"/>
              <w:jc w:val="center"/>
            </w:pPr>
            <w:r>
              <w:rPr>
                <w:rFonts w:hint="eastAsia" w:ascii="Times New Roman" w:cs="Times New Roman"/>
                <w:color w:val="auto"/>
                <w:kern w:val="2"/>
                <w:sz w:val="21"/>
                <w:szCs w:val="22"/>
              </w:rPr>
              <w:t>（40分）</w:t>
            </w:r>
          </w:p>
        </w:tc>
        <w:tc>
          <w:tcPr>
            <w:tcW w:w="1904" w:type="dxa"/>
            <w:vAlign w:val="center"/>
          </w:tcPr>
          <w:p>
            <w:pPr>
              <w:spacing w:line="312" w:lineRule="auto"/>
              <w:jc w:val="center"/>
              <w:rPr>
                <w:szCs w:val="21"/>
              </w:rPr>
            </w:pPr>
            <w:r>
              <w:rPr>
                <w:rFonts w:hint="eastAsia"/>
                <w:szCs w:val="21"/>
              </w:rPr>
              <w:t>经营状况</w:t>
            </w:r>
          </w:p>
          <w:p>
            <w:pPr>
              <w:spacing w:line="312" w:lineRule="auto"/>
              <w:jc w:val="center"/>
              <w:rPr>
                <w:rFonts w:ascii="宋体" w:hAnsi="宋体"/>
                <w:szCs w:val="21"/>
              </w:rPr>
            </w:pPr>
            <w:r>
              <w:rPr>
                <w:rFonts w:hint="eastAsia"/>
                <w:szCs w:val="21"/>
              </w:rPr>
              <w:t>（5分）</w:t>
            </w:r>
          </w:p>
        </w:tc>
        <w:tc>
          <w:tcPr>
            <w:tcW w:w="5113" w:type="dxa"/>
            <w:vAlign w:val="center"/>
          </w:tcPr>
          <w:p>
            <w:pPr>
              <w:spacing w:line="312" w:lineRule="auto"/>
              <w:rPr>
                <w:rFonts w:ascii="宋体" w:hAnsi="宋体"/>
                <w:szCs w:val="21"/>
              </w:rPr>
            </w:pPr>
            <w:r>
              <w:rPr>
                <w:rFonts w:hint="eastAsia"/>
                <w:szCs w:val="21"/>
              </w:rPr>
              <w:t>2023年1月1日至2023年12月31日，供应商营业收入在1000万以上得5分，800（不含）万-1000万（含）得3分，500（含）万-800万（含）得1分，500万以下不得分。（以2023年度审计报告为准，审计报告需要带防伪码）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5" w:hRule="atLeast"/>
          <w:jc w:val="center"/>
        </w:trPr>
        <w:tc>
          <w:tcPr>
            <w:tcW w:w="748" w:type="dxa"/>
            <w:vMerge w:val="continue"/>
            <w:vAlign w:val="center"/>
          </w:tcPr>
          <w:p>
            <w:pPr>
              <w:spacing w:line="360" w:lineRule="auto"/>
              <w:jc w:val="center"/>
              <w:rPr>
                <w:rFonts w:ascii="宋体" w:hAnsi="宋体"/>
                <w:szCs w:val="21"/>
              </w:rPr>
            </w:pPr>
          </w:p>
        </w:tc>
        <w:tc>
          <w:tcPr>
            <w:tcW w:w="1064" w:type="dxa"/>
            <w:vMerge w:val="continue"/>
            <w:vAlign w:val="center"/>
          </w:tcPr>
          <w:p>
            <w:pPr>
              <w:spacing w:line="360" w:lineRule="auto"/>
              <w:jc w:val="center"/>
              <w:rPr>
                <w:rFonts w:ascii="宋体" w:hAnsi="宋体"/>
                <w:szCs w:val="21"/>
              </w:rPr>
            </w:pPr>
          </w:p>
        </w:tc>
        <w:tc>
          <w:tcPr>
            <w:tcW w:w="1904" w:type="dxa"/>
            <w:vAlign w:val="center"/>
          </w:tcPr>
          <w:p>
            <w:pPr>
              <w:spacing w:line="312" w:lineRule="auto"/>
              <w:jc w:val="center"/>
              <w:rPr>
                <w:szCs w:val="21"/>
              </w:rPr>
            </w:pPr>
            <w:r>
              <w:rPr>
                <w:rFonts w:hint="eastAsia"/>
                <w:szCs w:val="21"/>
              </w:rPr>
              <w:t>企业相关业绩</w:t>
            </w:r>
          </w:p>
          <w:p>
            <w:pPr>
              <w:spacing w:line="312" w:lineRule="auto"/>
              <w:jc w:val="center"/>
              <w:rPr>
                <w:rFonts w:hAnsi="宋体"/>
                <w:szCs w:val="21"/>
              </w:rPr>
            </w:pPr>
            <w:r>
              <w:rPr>
                <w:rFonts w:hint="eastAsia"/>
                <w:szCs w:val="21"/>
              </w:rPr>
              <w:t>（10分）</w:t>
            </w:r>
          </w:p>
        </w:tc>
        <w:tc>
          <w:tcPr>
            <w:tcW w:w="5113" w:type="dxa"/>
            <w:vAlign w:val="center"/>
          </w:tcPr>
          <w:p>
            <w:pPr>
              <w:spacing w:line="312" w:lineRule="auto"/>
              <w:rPr>
                <w:szCs w:val="21"/>
              </w:rPr>
            </w:pPr>
            <w:r>
              <w:rPr>
                <w:rFonts w:hint="eastAsia"/>
                <w:szCs w:val="21"/>
              </w:rPr>
              <w:t>供应商2020年1月1日以来承担过类似审计项目的每份得2.5分；本项最高得10分。（提供项目合同）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jc w:val="center"/>
        </w:trPr>
        <w:tc>
          <w:tcPr>
            <w:tcW w:w="748" w:type="dxa"/>
            <w:vMerge w:val="continue"/>
            <w:vAlign w:val="center"/>
          </w:tcPr>
          <w:p>
            <w:pPr>
              <w:spacing w:line="360" w:lineRule="auto"/>
              <w:jc w:val="center"/>
              <w:rPr>
                <w:rFonts w:ascii="宋体" w:hAnsi="宋体"/>
                <w:szCs w:val="21"/>
              </w:rPr>
            </w:pPr>
          </w:p>
        </w:tc>
        <w:tc>
          <w:tcPr>
            <w:tcW w:w="1064" w:type="dxa"/>
            <w:vMerge w:val="continue"/>
            <w:vAlign w:val="center"/>
          </w:tcPr>
          <w:p>
            <w:pPr>
              <w:spacing w:line="360" w:lineRule="auto"/>
              <w:jc w:val="center"/>
              <w:rPr>
                <w:rFonts w:ascii="宋体" w:hAnsi="宋体"/>
                <w:szCs w:val="21"/>
              </w:rPr>
            </w:pPr>
          </w:p>
        </w:tc>
        <w:tc>
          <w:tcPr>
            <w:tcW w:w="1904" w:type="dxa"/>
            <w:vAlign w:val="center"/>
          </w:tcPr>
          <w:p>
            <w:pPr>
              <w:spacing w:line="312" w:lineRule="auto"/>
              <w:jc w:val="center"/>
              <w:rPr>
                <w:szCs w:val="21"/>
              </w:rPr>
            </w:pPr>
            <w:r>
              <w:rPr>
                <w:rFonts w:hint="eastAsia"/>
                <w:szCs w:val="21"/>
              </w:rPr>
              <w:t>项目部组成人员（10分）</w:t>
            </w:r>
          </w:p>
        </w:tc>
        <w:tc>
          <w:tcPr>
            <w:tcW w:w="5113" w:type="dxa"/>
            <w:vAlign w:val="center"/>
          </w:tcPr>
          <w:p>
            <w:pPr>
              <w:spacing w:line="312" w:lineRule="auto"/>
              <w:rPr>
                <w:szCs w:val="21"/>
              </w:rPr>
            </w:pPr>
            <w:r>
              <w:rPr>
                <w:rFonts w:hint="eastAsia"/>
                <w:szCs w:val="21"/>
              </w:rPr>
              <w:t>项目部组成人员具有注册会计师的，除项目负责人外，每再多1人得1分，最多得7分；其中具有中级或以上职称证书的，每一人得1分，最多得3分；本项最高得10分。</w:t>
            </w:r>
          </w:p>
          <w:p>
            <w:pPr>
              <w:spacing w:line="312" w:lineRule="auto"/>
              <w:rPr>
                <w:rFonts w:ascii="宋体" w:hAnsi="宋体"/>
                <w:szCs w:val="21"/>
              </w:rPr>
            </w:pPr>
            <w:r>
              <w:rPr>
                <w:rFonts w:hint="eastAsia"/>
                <w:szCs w:val="21"/>
              </w:rPr>
              <w:t>注：以相关证书为准。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8" w:hRule="atLeast"/>
          <w:jc w:val="center"/>
        </w:trPr>
        <w:tc>
          <w:tcPr>
            <w:tcW w:w="748" w:type="dxa"/>
            <w:vMerge w:val="continue"/>
            <w:vAlign w:val="center"/>
          </w:tcPr>
          <w:p>
            <w:pPr>
              <w:spacing w:line="360" w:lineRule="auto"/>
              <w:jc w:val="center"/>
              <w:rPr>
                <w:rFonts w:ascii="宋体" w:hAnsi="宋体"/>
                <w:szCs w:val="21"/>
              </w:rPr>
            </w:pPr>
          </w:p>
        </w:tc>
        <w:tc>
          <w:tcPr>
            <w:tcW w:w="1064" w:type="dxa"/>
            <w:vMerge w:val="continue"/>
            <w:vAlign w:val="center"/>
          </w:tcPr>
          <w:p>
            <w:pPr>
              <w:spacing w:line="360" w:lineRule="auto"/>
              <w:jc w:val="center"/>
              <w:rPr>
                <w:rFonts w:ascii="宋体" w:hAnsi="宋体"/>
                <w:szCs w:val="21"/>
              </w:rPr>
            </w:pPr>
          </w:p>
        </w:tc>
        <w:tc>
          <w:tcPr>
            <w:tcW w:w="1904" w:type="dxa"/>
            <w:vAlign w:val="center"/>
          </w:tcPr>
          <w:p>
            <w:pPr>
              <w:spacing w:line="312" w:lineRule="auto"/>
              <w:rPr>
                <w:rFonts w:ascii="宋体" w:hAnsi="宋体"/>
                <w:szCs w:val="21"/>
              </w:rPr>
            </w:pPr>
            <w:r>
              <w:rPr>
                <w:rFonts w:hint="eastAsia"/>
                <w:szCs w:val="21"/>
              </w:rPr>
              <w:t>企业实力(15分)</w:t>
            </w:r>
          </w:p>
        </w:tc>
        <w:tc>
          <w:tcPr>
            <w:tcW w:w="5113" w:type="dxa"/>
            <w:vAlign w:val="center"/>
          </w:tcPr>
          <w:p>
            <w:pPr>
              <w:spacing w:line="312" w:lineRule="auto"/>
              <w:rPr>
                <w:szCs w:val="21"/>
              </w:rPr>
            </w:pPr>
            <w:r>
              <w:rPr>
                <w:rFonts w:hint="eastAsia"/>
                <w:szCs w:val="21"/>
              </w:rPr>
              <w:t>1、在</w:t>
            </w:r>
            <w:r>
              <w:rPr>
                <w:szCs w:val="21"/>
              </w:rPr>
              <w:t>河南省注册会计师协会发布的《</w:t>
            </w:r>
            <w:r>
              <w:rPr>
                <w:rFonts w:hint="eastAsia"/>
                <w:szCs w:val="21"/>
              </w:rPr>
              <w:t>河南省2022年度会计师事务所综合评价前100名信息</w:t>
            </w:r>
            <w:r>
              <w:rPr>
                <w:szCs w:val="21"/>
              </w:rPr>
              <w:t>》</w:t>
            </w:r>
            <w:r>
              <w:rPr>
                <w:bCs/>
                <w:szCs w:val="21"/>
              </w:rPr>
              <w:t>通告中排名前</w:t>
            </w:r>
            <w:r>
              <w:rPr>
                <w:rFonts w:hint="eastAsia"/>
                <w:bCs/>
                <w:szCs w:val="21"/>
              </w:rPr>
              <w:t>50名（含50名）得5分，51-80名得2分，81-100名得1分。（在投标文件中附查询截图）</w:t>
            </w:r>
          </w:p>
          <w:p>
            <w:pPr>
              <w:spacing w:line="312" w:lineRule="auto"/>
              <w:rPr>
                <w:szCs w:val="21"/>
              </w:rPr>
            </w:pPr>
            <w:r>
              <w:rPr>
                <w:rFonts w:hint="eastAsia"/>
                <w:szCs w:val="21"/>
              </w:rPr>
              <w:t>2、</w:t>
            </w:r>
            <w:r>
              <w:rPr>
                <w:szCs w:val="21"/>
              </w:rPr>
              <w:t>投标人具有注册会计师人数为</w:t>
            </w:r>
            <w:r>
              <w:rPr>
                <w:rFonts w:hint="eastAsia"/>
                <w:szCs w:val="21"/>
              </w:rPr>
              <w:t>15人</w:t>
            </w:r>
            <w:r>
              <w:rPr>
                <w:szCs w:val="21"/>
              </w:rPr>
              <w:t>得</w:t>
            </w:r>
            <w:r>
              <w:rPr>
                <w:rFonts w:hint="eastAsia"/>
                <w:szCs w:val="21"/>
              </w:rPr>
              <w:t>5</w:t>
            </w:r>
            <w:r>
              <w:rPr>
                <w:szCs w:val="21"/>
              </w:rPr>
              <w:t>分，每再多1人加1分，最多得</w:t>
            </w:r>
            <w:r>
              <w:rPr>
                <w:rFonts w:hint="eastAsia"/>
                <w:szCs w:val="21"/>
              </w:rPr>
              <w:t>10</w:t>
            </w:r>
            <w:r>
              <w:rPr>
                <w:szCs w:val="21"/>
              </w:rPr>
              <w:t>分。（在投标文件中附注册单位与投标人一致的注册会计师注册证原件扫描件及中国注册会计师协会网站查询截图，否则不得分。）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29" w:type="dxa"/>
            <w:gridSpan w:val="4"/>
            <w:vAlign w:val="center"/>
          </w:tcPr>
          <w:p>
            <w:pPr>
              <w:spacing w:line="360" w:lineRule="auto"/>
              <w:ind w:firstLine="211" w:firstLineChars="100"/>
              <w:rPr>
                <w:rFonts w:ascii="宋体" w:hAnsi="宋体"/>
                <w:b/>
                <w:szCs w:val="21"/>
              </w:rPr>
            </w:pPr>
            <w:r>
              <w:rPr>
                <w:rFonts w:hint="eastAsia" w:ascii="宋体" w:hAnsi="宋体"/>
                <w:b/>
                <w:szCs w:val="21"/>
              </w:rPr>
              <w:t>以上各项若有缺项，该项得分为0。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8829" w:type="dxa"/>
            <w:gridSpan w:val="4"/>
            <w:vAlign w:val="center"/>
          </w:tcPr>
          <w:p>
            <w:pPr>
              <w:spacing w:line="360" w:lineRule="auto"/>
              <w:rPr>
                <w:rFonts w:ascii="宋体" w:hAnsi="宋体"/>
                <w:szCs w:val="21"/>
              </w:rPr>
            </w:pPr>
            <w:r>
              <w:rPr>
                <w:rFonts w:hint="eastAsia" w:ascii="宋体" w:hAnsi="宋体"/>
                <w:szCs w:val="21"/>
              </w:rPr>
              <w:t>1、评标委员会在评分办法规定的分值范围内打分，超出范围的，评分无效。有缺项的对应项不得分。</w:t>
            </w:r>
          </w:p>
          <w:p>
            <w:pPr>
              <w:spacing w:line="360" w:lineRule="auto"/>
              <w:rPr>
                <w:rFonts w:ascii="宋体" w:hAnsi="宋体"/>
                <w:szCs w:val="21"/>
              </w:rPr>
            </w:pPr>
            <w:r>
              <w:rPr>
                <w:rFonts w:hint="eastAsia" w:ascii="宋体" w:hAnsi="宋体"/>
                <w:szCs w:val="21"/>
              </w:rPr>
              <w:t>2、本办法计算过程中分值按四舍五入保留三位小数，结果按四舍五入保留两位小数。所有评委的算术平均值即为该供应商的最终得分。</w:t>
            </w:r>
          </w:p>
          <w:p>
            <w:pPr>
              <w:spacing w:line="360" w:lineRule="auto"/>
              <w:rPr>
                <w:rFonts w:ascii="宋体" w:hAnsi="宋体"/>
                <w:szCs w:val="21"/>
              </w:rPr>
            </w:pPr>
            <w:r>
              <w:rPr>
                <w:rFonts w:hint="eastAsia" w:ascii="宋体" w:hAnsi="宋体"/>
                <w:szCs w:val="21"/>
              </w:rPr>
              <w:t>3、入围单位按照得分由高到低顺序进行选定，综合得分相等的由评标委员会抽签决定排序。</w:t>
            </w:r>
          </w:p>
        </w:tc>
      </w:tr>
    </w:tbl>
    <w:p/>
    <w:p/>
    <w:p>
      <w:pPr>
        <w:pStyle w:val="4"/>
        <w:spacing w:before="0" w:beforeAutospacing="0" w:after="0" w:afterAutospacing="0"/>
        <w:ind w:firstLine="640" w:firstLineChars="200"/>
        <w:rPr>
          <w:rFonts w:ascii="仿宋_GB2312" w:hAnsi="微软雅黑" w:eastAsia="仿宋_GB2312"/>
          <w:color w:val="333333"/>
          <w:spacing w:val="15"/>
          <w:sz w:val="29"/>
          <w:szCs w:val="29"/>
        </w:rPr>
      </w:pPr>
      <w:r>
        <w:rPr>
          <w:rFonts w:hint="eastAsia" w:ascii="微软雅黑" w:hAnsi="微软雅黑" w:eastAsia="微软雅黑"/>
          <w:b/>
          <w:color w:val="333333"/>
          <w:spacing w:val="15"/>
          <w:sz w:val="29"/>
          <w:szCs w:val="29"/>
          <w:lang w:val="en-US" w:eastAsia="zh-CN"/>
        </w:rPr>
        <w:t>八</w:t>
      </w:r>
      <w:r>
        <w:rPr>
          <w:rFonts w:hint="eastAsia" w:ascii="微软雅黑" w:hAnsi="微软雅黑" w:eastAsia="微软雅黑"/>
          <w:b/>
          <w:color w:val="333333"/>
          <w:spacing w:val="15"/>
          <w:sz w:val="29"/>
          <w:szCs w:val="29"/>
        </w:rPr>
        <w:t>、报名时间</w:t>
      </w:r>
      <w:r>
        <w:rPr>
          <w:rFonts w:hint="eastAsia" w:ascii="黑体" w:hAnsi="黑体" w:eastAsia="黑体"/>
          <w:color w:val="333333"/>
          <w:spacing w:val="15"/>
          <w:sz w:val="29"/>
          <w:szCs w:val="29"/>
        </w:rPr>
        <w:t>：</w:t>
      </w:r>
      <w:r>
        <w:rPr>
          <w:rFonts w:hint="eastAsia" w:ascii="仿宋_GB2312" w:hAnsi="微软雅黑" w:eastAsia="仿宋_GB2312"/>
          <w:color w:val="333333"/>
          <w:spacing w:val="15"/>
          <w:sz w:val="29"/>
          <w:szCs w:val="29"/>
        </w:rPr>
        <w:t>202</w:t>
      </w:r>
      <w:r>
        <w:rPr>
          <w:rFonts w:hint="eastAsia" w:ascii="仿宋_GB2312" w:hAnsi="微软雅黑" w:eastAsia="仿宋_GB2312"/>
          <w:color w:val="333333"/>
          <w:spacing w:val="15"/>
          <w:sz w:val="29"/>
          <w:szCs w:val="29"/>
          <w:lang w:val="en-US" w:eastAsia="zh-CN"/>
        </w:rPr>
        <w:t>4</w:t>
      </w:r>
      <w:r>
        <w:rPr>
          <w:rFonts w:hint="eastAsia" w:ascii="仿宋_GB2312" w:hAnsi="微软雅黑" w:eastAsia="仿宋_GB2312"/>
          <w:color w:val="333333"/>
          <w:spacing w:val="15"/>
          <w:sz w:val="29"/>
          <w:szCs w:val="29"/>
        </w:rPr>
        <w:t>年0</w:t>
      </w:r>
      <w:r>
        <w:rPr>
          <w:rFonts w:hint="eastAsia" w:ascii="仿宋_GB2312" w:hAnsi="微软雅黑" w:eastAsia="仿宋_GB2312"/>
          <w:color w:val="333333"/>
          <w:spacing w:val="15"/>
          <w:sz w:val="29"/>
          <w:szCs w:val="29"/>
          <w:lang w:val="en-US" w:eastAsia="zh-CN"/>
        </w:rPr>
        <w:t>4</w:t>
      </w:r>
      <w:r>
        <w:rPr>
          <w:rFonts w:hint="eastAsia" w:ascii="仿宋_GB2312" w:hAnsi="微软雅黑" w:eastAsia="仿宋_GB2312"/>
          <w:color w:val="333333"/>
          <w:spacing w:val="15"/>
          <w:sz w:val="29"/>
          <w:szCs w:val="29"/>
        </w:rPr>
        <w:t>月</w:t>
      </w:r>
      <w:r>
        <w:rPr>
          <w:rFonts w:ascii="仿宋_GB2312" w:hAnsi="微软雅黑" w:eastAsia="仿宋_GB2312"/>
          <w:color w:val="333333"/>
          <w:spacing w:val="15"/>
          <w:sz w:val="29"/>
          <w:szCs w:val="29"/>
        </w:rPr>
        <w:t>1</w:t>
      </w:r>
      <w:r>
        <w:rPr>
          <w:rFonts w:hint="eastAsia" w:ascii="仿宋_GB2312" w:hAnsi="微软雅黑" w:eastAsia="仿宋_GB2312"/>
          <w:color w:val="333333"/>
          <w:spacing w:val="15"/>
          <w:sz w:val="29"/>
          <w:szCs w:val="29"/>
          <w:lang w:val="en-US" w:eastAsia="zh-CN"/>
        </w:rPr>
        <w:t>1</w:t>
      </w:r>
      <w:r>
        <w:rPr>
          <w:rFonts w:hint="eastAsia" w:ascii="仿宋_GB2312" w:hAnsi="微软雅黑" w:eastAsia="仿宋_GB2312"/>
          <w:color w:val="333333"/>
          <w:spacing w:val="15"/>
          <w:sz w:val="29"/>
          <w:szCs w:val="29"/>
        </w:rPr>
        <w:t>日至1</w:t>
      </w:r>
      <w:r>
        <w:rPr>
          <w:rFonts w:hint="eastAsia" w:ascii="仿宋_GB2312" w:hAnsi="微软雅黑" w:eastAsia="仿宋_GB2312"/>
          <w:color w:val="333333"/>
          <w:spacing w:val="15"/>
          <w:sz w:val="29"/>
          <w:szCs w:val="29"/>
          <w:lang w:val="en-US" w:eastAsia="zh-CN"/>
        </w:rPr>
        <w:t>6</w:t>
      </w:r>
      <w:r>
        <w:rPr>
          <w:rFonts w:hint="eastAsia" w:ascii="仿宋_GB2312" w:hAnsi="微软雅黑" w:eastAsia="仿宋_GB2312"/>
          <w:color w:val="333333"/>
          <w:spacing w:val="15"/>
          <w:sz w:val="29"/>
          <w:szCs w:val="29"/>
        </w:rPr>
        <w:t>日</w:t>
      </w:r>
    </w:p>
    <w:p>
      <w:pPr>
        <w:pStyle w:val="4"/>
        <w:spacing w:before="0" w:beforeAutospacing="0" w:after="0" w:afterAutospacing="0"/>
        <w:ind w:firstLine="640" w:firstLineChars="200"/>
        <w:rPr>
          <w:rFonts w:ascii="微软雅黑" w:hAnsi="微软雅黑" w:eastAsia="微软雅黑"/>
          <w:b/>
          <w:color w:val="333333"/>
          <w:spacing w:val="15"/>
          <w:sz w:val="29"/>
          <w:szCs w:val="29"/>
        </w:rPr>
      </w:pPr>
      <w:r>
        <w:rPr>
          <w:rFonts w:hint="eastAsia" w:ascii="微软雅黑" w:hAnsi="微软雅黑" w:eastAsia="微软雅黑"/>
          <w:b/>
          <w:color w:val="333333"/>
          <w:spacing w:val="15"/>
          <w:sz w:val="29"/>
          <w:szCs w:val="29"/>
          <w:shd w:val="clear" w:color="auto" w:fill="FFFFFF" w:themeFill="background1"/>
        </w:rPr>
        <w:t>九、现场</w:t>
      </w:r>
      <w:r>
        <w:rPr>
          <w:rFonts w:hint="eastAsia" w:ascii="微软雅黑" w:hAnsi="微软雅黑" w:eastAsia="微软雅黑"/>
          <w:b/>
          <w:color w:val="333333"/>
          <w:spacing w:val="15"/>
          <w:sz w:val="29"/>
          <w:szCs w:val="29"/>
          <w:shd w:val="clear" w:color="auto" w:fill="FFFFFF" w:themeFill="background1"/>
          <w:lang w:val="en-US" w:eastAsia="zh-CN"/>
        </w:rPr>
        <w:t>比选</w:t>
      </w:r>
      <w:r>
        <w:rPr>
          <w:rFonts w:hint="eastAsia" w:ascii="微软雅黑" w:hAnsi="微软雅黑" w:eastAsia="微软雅黑"/>
          <w:b/>
          <w:color w:val="333333"/>
          <w:spacing w:val="15"/>
          <w:sz w:val="29"/>
          <w:szCs w:val="29"/>
          <w:shd w:val="clear" w:color="auto" w:fill="FFFFFF" w:themeFill="background1"/>
        </w:rPr>
        <w:t>时间：</w:t>
      </w:r>
      <w:r>
        <w:rPr>
          <w:rFonts w:hint="eastAsia" w:ascii="仿宋" w:hAnsi="仿宋" w:eastAsia="仿宋"/>
          <w:color w:val="333333"/>
          <w:spacing w:val="15"/>
          <w:sz w:val="29"/>
          <w:szCs w:val="29"/>
          <w:shd w:val="clear" w:color="auto" w:fill="FFFFFF" w:themeFill="background1"/>
        </w:rPr>
        <w:t>2</w:t>
      </w:r>
      <w:r>
        <w:rPr>
          <w:rFonts w:ascii="仿宋" w:hAnsi="仿宋" w:eastAsia="仿宋"/>
          <w:color w:val="333333"/>
          <w:spacing w:val="15"/>
          <w:sz w:val="29"/>
          <w:szCs w:val="29"/>
          <w:shd w:val="clear" w:color="auto" w:fill="FFFFFF" w:themeFill="background1"/>
        </w:rPr>
        <w:t>02</w:t>
      </w:r>
      <w:r>
        <w:rPr>
          <w:rFonts w:hint="eastAsia" w:ascii="仿宋" w:hAnsi="仿宋" w:eastAsia="仿宋"/>
          <w:color w:val="333333"/>
          <w:spacing w:val="15"/>
          <w:sz w:val="29"/>
          <w:szCs w:val="29"/>
          <w:shd w:val="clear" w:color="auto" w:fill="FFFFFF" w:themeFill="background1"/>
          <w:lang w:val="en-US" w:eastAsia="zh-CN"/>
        </w:rPr>
        <w:t>4</w:t>
      </w:r>
      <w:r>
        <w:rPr>
          <w:rFonts w:hint="eastAsia" w:ascii="仿宋" w:hAnsi="仿宋" w:eastAsia="仿宋"/>
          <w:color w:val="333333"/>
          <w:spacing w:val="15"/>
          <w:sz w:val="29"/>
          <w:szCs w:val="29"/>
          <w:shd w:val="clear" w:color="auto" w:fill="FFFFFF" w:themeFill="background1"/>
        </w:rPr>
        <w:t>年</w:t>
      </w:r>
      <w:r>
        <w:rPr>
          <w:rFonts w:hint="eastAsia" w:ascii="仿宋" w:hAnsi="仿宋" w:eastAsia="仿宋"/>
          <w:color w:val="333333"/>
          <w:spacing w:val="15"/>
          <w:sz w:val="29"/>
          <w:szCs w:val="29"/>
          <w:shd w:val="clear" w:color="auto" w:fill="FFFFFF" w:themeFill="background1"/>
          <w:lang w:val="en-US" w:eastAsia="zh-CN"/>
        </w:rPr>
        <w:t>04</w:t>
      </w:r>
      <w:r>
        <w:rPr>
          <w:rFonts w:hint="eastAsia" w:ascii="仿宋" w:hAnsi="仿宋" w:eastAsia="仿宋"/>
          <w:color w:val="333333"/>
          <w:spacing w:val="15"/>
          <w:sz w:val="29"/>
          <w:szCs w:val="29"/>
          <w:shd w:val="clear" w:color="auto" w:fill="FFFFFF" w:themeFill="background1"/>
        </w:rPr>
        <w:t>月</w:t>
      </w:r>
      <w:r>
        <w:rPr>
          <w:rFonts w:ascii="仿宋" w:hAnsi="仿宋" w:eastAsia="仿宋"/>
          <w:color w:val="333333"/>
          <w:spacing w:val="15"/>
          <w:sz w:val="29"/>
          <w:szCs w:val="29"/>
          <w:shd w:val="clear" w:color="auto" w:fill="FFFFFF" w:themeFill="background1"/>
        </w:rPr>
        <w:t>1</w:t>
      </w:r>
      <w:r>
        <w:rPr>
          <w:rFonts w:hint="eastAsia" w:ascii="仿宋" w:hAnsi="仿宋" w:eastAsia="仿宋"/>
          <w:color w:val="333333"/>
          <w:spacing w:val="15"/>
          <w:sz w:val="29"/>
          <w:szCs w:val="29"/>
          <w:shd w:val="clear" w:color="auto" w:fill="FFFFFF" w:themeFill="background1"/>
          <w:lang w:val="en-US" w:eastAsia="zh-CN"/>
        </w:rPr>
        <w:t>7</w:t>
      </w:r>
      <w:r>
        <w:rPr>
          <w:rFonts w:hint="eastAsia" w:ascii="仿宋" w:hAnsi="仿宋" w:eastAsia="仿宋"/>
          <w:color w:val="333333"/>
          <w:spacing w:val="15"/>
          <w:sz w:val="29"/>
          <w:szCs w:val="29"/>
          <w:shd w:val="clear" w:color="auto" w:fill="FFFFFF" w:themeFill="background1"/>
        </w:rPr>
        <w:t>日1</w:t>
      </w:r>
      <w:r>
        <w:rPr>
          <w:rFonts w:ascii="仿宋" w:hAnsi="仿宋" w:eastAsia="仿宋"/>
          <w:color w:val="333333"/>
          <w:spacing w:val="15"/>
          <w:sz w:val="29"/>
          <w:szCs w:val="29"/>
          <w:shd w:val="clear" w:color="auto" w:fill="FFFFFF" w:themeFill="background1"/>
        </w:rPr>
        <w:t>5</w:t>
      </w:r>
      <w:r>
        <w:rPr>
          <w:rFonts w:hint="eastAsia" w:ascii="仿宋" w:hAnsi="仿宋" w:eastAsia="仿宋"/>
          <w:color w:val="333333"/>
          <w:spacing w:val="15"/>
          <w:sz w:val="29"/>
          <w:szCs w:val="29"/>
          <w:shd w:val="clear" w:color="auto" w:fill="FFFFFF" w:themeFill="background1"/>
        </w:rPr>
        <w:t>:0</w:t>
      </w:r>
      <w:r>
        <w:rPr>
          <w:rFonts w:ascii="仿宋" w:hAnsi="仿宋" w:eastAsia="仿宋"/>
          <w:color w:val="333333"/>
          <w:spacing w:val="15"/>
          <w:sz w:val="29"/>
          <w:szCs w:val="29"/>
          <w:shd w:val="clear" w:color="auto" w:fill="FFFFFF" w:themeFill="background1"/>
        </w:rPr>
        <w:t>0</w:t>
      </w:r>
      <w:r>
        <w:rPr>
          <w:rFonts w:hint="eastAsia" w:ascii="仿宋" w:hAnsi="仿宋" w:eastAsia="仿宋"/>
          <w:color w:val="333333"/>
          <w:spacing w:val="15"/>
          <w:sz w:val="29"/>
          <w:szCs w:val="29"/>
          <w:shd w:val="clear" w:color="auto" w:fill="FFFFFF" w:themeFill="background1"/>
        </w:rPr>
        <w:t>-</w:t>
      </w:r>
      <w:r>
        <w:rPr>
          <w:rFonts w:ascii="仿宋" w:hAnsi="仿宋" w:eastAsia="仿宋"/>
          <w:color w:val="333333"/>
          <w:spacing w:val="15"/>
          <w:sz w:val="29"/>
          <w:szCs w:val="29"/>
          <w:shd w:val="clear" w:color="auto" w:fill="FFFFFF" w:themeFill="background1"/>
        </w:rPr>
        <w:t>16</w:t>
      </w:r>
      <w:r>
        <w:rPr>
          <w:rFonts w:hint="eastAsia" w:ascii="仿宋" w:hAnsi="仿宋" w:eastAsia="仿宋"/>
          <w:color w:val="333333"/>
          <w:spacing w:val="15"/>
          <w:sz w:val="29"/>
          <w:szCs w:val="29"/>
          <w:shd w:val="clear" w:color="auto" w:fill="FFFFFF" w:themeFill="background1"/>
        </w:rPr>
        <w:t>:0</w:t>
      </w:r>
      <w:r>
        <w:rPr>
          <w:rFonts w:ascii="仿宋" w:hAnsi="仿宋" w:eastAsia="仿宋"/>
          <w:color w:val="333333"/>
          <w:spacing w:val="15"/>
          <w:sz w:val="29"/>
          <w:szCs w:val="29"/>
          <w:shd w:val="clear" w:color="auto" w:fill="FFFFFF" w:themeFill="background1"/>
        </w:rPr>
        <w:t>0</w:t>
      </w:r>
    </w:p>
    <w:p>
      <w:pPr>
        <w:pStyle w:val="4"/>
        <w:spacing w:before="0" w:beforeAutospacing="0" w:after="0" w:afterAutospacing="0"/>
        <w:ind w:firstLine="560" w:firstLineChars="200"/>
        <w:rPr>
          <w:rFonts w:ascii="仿宋" w:hAnsi="仿宋" w:eastAsia="仿宋"/>
          <w:color w:val="1A1A1A"/>
          <w:sz w:val="28"/>
          <w:szCs w:val="28"/>
        </w:rPr>
      </w:pPr>
      <w:r>
        <w:rPr>
          <w:rFonts w:hint="eastAsia" w:ascii="微软雅黑" w:hAnsi="微软雅黑" w:eastAsia="微软雅黑"/>
          <w:b/>
          <w:color w:val="1A1A1A"/>
          <w:sz w:val="28"/>
          <w:szCs w:val="28"/>
        </w:rPr>
        <w:t>十、现场</w:t>
      </w:r>
      <w:r>
        <w:rPr>
          <w:rFonts w:hint="eastAsia" w:ascii="微软雅黑" w:hAnsi="微软雅黑" w:eastAsia="微软雅黑"/>
          <w:b/>
          <w:color w:val="1A1A1A"/>
          <w:sz w:val="28"/>
          <w:szCs w:val="28"/>
          <w:lang w:val="en-US" w:eastAsia="zh-CN"/>
        </w:rPr>
        <w:t>比选</w:t>
      </w:r>
      <w:r>
        <w:rPr>
          <w:rFonts w:hint="eastAsia" w:ascii="微软雅黑" w:hAnsi="微软雅黑" w:eastAsia="微软雅黑"/>
          <w:b/>
          <w:color w:val="1A1A1A"/>
          <w:sz w:val="28"/>
          <w:szCs w:val="28"/>
        </w:rPr>
        <w:t>地点：</w:t>
      </w:r>
      <w:r>
        <w:rPr>
          <w:rFonts w:hint="eastAsia" w:ascii="仿宋" w:hAnsi="仿宋" w:eastAsia="仿宋"/>
          <w:color w:val="1A1A1A"/>
          <w:sz w:val="28"/>
          <w:szCs w:val="28"/>
        </w:rPr>
        <w:t>郑州市第八人民医院</w:t>
      </w:r>
      <w:r>
        <w:rPr>
          <w:rFonts w:hint="eastAsia" w:ascii="仿宋" w:hAnsi="仿宋" w:eastAsia="仿宋"/>
          <w:color w:val="1A1A1A"/>
          <w:sz w:val="28"/>
          <w:szCs w:val="28"/>
          <w:lang w:val="en-US" w:eastAsia="zh-CN"/>
        </w:rPr>
        <w:t>行政楼</w:t>
      </w:r>
      <w:r>
        <w:rPr>
          <w:rFonts w:hint="eastAsia" w:ascii="仿宋" w:hAnsi="仿宋" w:eastAsia="仿宋"/>
          <w:color w:val="1A1A1A"/>
          <w:sz w:val="28"/>
          <w:szCs w:val="28"/>
        </w:rPr>
        <w:t>二楼会议室</w:t>
      </w:r>
    </w:p>
    <w:p>
      <w:pPr>
        <w:pStyle w:val="4"/>
        <w:spacing w:before="0" w:beforeAutospacing="0" w:after="0" w:afterAutospacing="0"/>
        <w:ind w:firstLine="560" w:firstLineChars="200"/>
        <w:rPr>
          <w:sz w:val="32"/>
          <w:szCs w:val="32"/>
        </w:rPr>
      </w:pPr>
      <w:r>
        <w:rPr>
          <w:rFonts w:hint="eastAsia" w:ascii="微软雅黑" w:hAnsi="微软雅黑" w:eastAsia="微软雅黑"/>
          <w:b/>
          <w:sz w:val="28"/>
          <w:szCs w:val="28"/>
        </w:rPr>
        <w:t>十一、联系方式</w:t>
      </w:r>
      <w:r>
        <w:rPr>
          <w:rFonts w:hint="eastAsia"/>
          <w:sz w:val="32"/>
          <w:szCs w:val="32"/>
        </w:rPr>
        <w:t>：</w:t>
      </w:r>
      <w:r>
        <w:rPr>
          <w:rFonts w:hint="eastAsia"/>
          <w:sz w:val="28"/>
          <w:szCs w:val="28"/>
        </w:rPr>
        <w:t>周老师</w:t>
      </w:r>
      <w:r>
        <w:rPr>
          <w:rFonts w:hint="eastAsia"/>
          <w:sz w:val="32"/>
          <w:szCs w:val="32"/>
        </w:rPr>
        <w:t>：</w:t>
      </w:r>
      <w:r>
        <w:rPr>
          <w:sz w:val="32"/>
          <w:szCs w:val="32"/>
        </w:rPr>
        <w:t>13538253365</w:t>
      </w:r>
    </w:p>
    <w:p>
      <w:pPr>
        <w:numPr>
          <w:ilvl w:val="0"/>
          <w:numId w:val="0"/>
        </w:numPr>
        <w:jc w:val="left"/>
        <w:rPr>
          <w:rFonts w:hint="default" w:ascii="仿宋" w:hAnsi="仿宋" w:eastAsia="仿宋" w:cs="仿宋"/>
          <w:sz w:val="32"/>
          <w:szCs w:val="32"/>
          <w:lang w:val="en-US" w:eastAsia="zh-CN"/>
        </w:rPr>
      </w:pPr>
    </w:p>
    <w:p>
      <w:pPr>
        <w:pStyle w:val="2"/>
        <w:rPr>
          <w:rFonts w:hint="default" w:ascii="仿宋" w:hAnsi="仿宋" w:eastAsia="仿宋" w:cs="仿宋"/>
          <w:sz w:val="32"/>
          <w:szCs w:val="32"/>
          <w:lang w:val="en-US" w:eastAsia="zh-CN"/>
        </w:rPr>
      </w:pPr>
    </w:p>
    <w:p>
      <w:pPr>
        <w:pStyle w:val="2"/>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bookmarkStart w:id="0" w:name="_GoBack"/>
      <w:bookmarkEnd w:id="0"/>
      <w:r>
        <w:rPr>
          <w:rFonts w:hint="eastAsia" w:ascii="仿宋" w:hAnsi="仿宋" w:eastAsia="仿宋" w:cs="仿宋"/>
          <w:sz w:val="32"/>
          <w:szCs w:val="32"/>
          <w:lang w:val="en-US" w:eastAsia="zh-CN"/>
        </w:rPr>
        <w:t xml:space="preserve">  2024年4月11日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roma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1ZWQ5MmY5MWVmZTYxZGU4YWUzMDIzNDJhNDZmNmQifQ=="/>
    <w:docVar w:name="KSO_WPS_MARK_KEY" w:val="9381b4e5-dae3-4b2a-b164-2bb456ee9ed0"/>
  </w:docVars>
  <w:rsids>
    <w:rsidRoot w:val="00000000"/>
    <w:rsid w:val="010A45FD"/>
    <w:rsid w:val="032F04D8"/>
    <w:rsid w:val="07DB0C2F"/>
    <w:rsid w:val="096F5AD2"/>
    <w:rsid w:val="09D26061"/>
    <w:rsid w:val="0A116B8A"/>
    <w:rsid w:val="0CAA5073"/>
    <w:rsid w:val="0CB657C6"/>
    <w:rsid w:val="0D110C4F"/>
    <w:rsid w:val="0E364E11"/>
    <w:rsid w:val="0EC57F43"/>
    <w:rsid w:val="0F751969"/>
    <w:rsid w:val="0FA1450C"/>
    <w:rsid w:val="10637A13"/>
    <w:rsid w:val="126A32DB"/>
    <w:rsid w:val="12F64B6E"/>
    <w:rsid w:val="154F4A0A"/>
    <w:rsid w:val="15C076B6"/>
    <w:rsid w:val="15E2753E"/>
    <w:rsid w:val="1AD5775F"/>
    <w:rsid w:val="1D9A07EC"/>
    <w:rsid w:val="1DAB29F9"/>
    <w:rsid w:val="20360CA0"/>
    <w:rsid w:val="21A8797C"/>
    <w:rsid w:val="229D5007"/>
    <w:rsid w:val="22F56BF1"/>
    <w:rsid w:val="24156E1F"/>
    <w:rsid w:val="24E94533"/>
    <w:rsid w:val="26FB054E"/>
    <w:rsid w:val="274A3283"/>
    <w:rsid w:val="28D9666D"/>
    <w:rsid w:val="298505A2"/>
    <w:rsid w:val="2A994305"/>
    <w:rsid w:val="2B5E72FD"/>
    <w:rsid w:val="2D517119"/>
    <w:rsid w:val="2DF45CF7"/>
    <w:rsid w:val="337E678E"/>
    <w:rsid w:val="37906A90"/>
    <w:rsid w:val="37EC0A77"/>
    <w:rsid w:val="39B747A8"/>
    <w:rsid w:val="3DDA6CB7"/>
    <w:rsid w:val="428216CB"/>
    <w:rsid w:val="435E5C94"/>
    <w:rsid w:val="448C6831"/>
    <w:rsid w:val="471054F8"/>
    <w:rsid w:val="482079BC"/>
    <w:rsid w:val="49C062A4"/>
    <w:rsid w:val="49C820BA"/>
    <w:rsid w:val="4A203CA4"/>
    <w:rsid w:val="4A6718D3"/>
    <w:rsid w:val="4AF60EA8"/>
    <w:rsid w:val="4E636855"/>
    <w:rsid w:val="4EEE4370"/>
    <w:rsid w:val="50DD28EE"/>
    <w:rsid w:val="54D04518"/>
    <w:rsid w:val="55855303"/>
    <w:rsid w:val="55DE2B74"/>
    <w:rsid w:val="570A1F63"/>
    <w:rsid w:val="57631674"/>
    <w:rsid w:val="59401C6C"/>
    <w:rsid w:val="5B48305A"/>
    <w:rsid w:val="5BA504AD"/>
    <w:rsid w:val="5BF31218"/>
    <w:rsid w:val="5E31427A"/>
    <w:rsid w:val="5FB52C88"/>
    <w:rsid w:val="61CF6083"/>
    <w:rsid w:val="622F6D22"/>
    <w:rsid w:val="65B25CA0"/>
    <w:rsid w:val="665E7BD6"/>
    <w:rsid w:val="66DD4F9F"/>
    <w:rsid w:val="673D5A3D"/>
    <w:rsid w:val="69AE2C22"/>
    <w:rsid w:val="6C7F08A6"/>
    <w:rsid w:val="6C8163CC"/>
    <w:rsid w:val="6D033285"/>
    <w:rsid w:val="6E1F5E9D"/>
    <w:rsid w:val="6E8E3022"/>
    <w:rsid w:val="6EFA2466"/>
    <w:rsid w:val="70AB1C6A"/>
    <w:rsid w:val="726E73F3"/>
    <w:rsid w:val="74583EB6"/>
    <w:rsid w:val="74F160B9"/>
    <w:rsid w:val="755C79D6"/>
    <w:rsid w:val="77FE4D75"/>
    <w:rsid w:val="78D9133E"/>
    <w:rsid w:val="79BC6C95"/>
    <w:rsid w:val="7A1A1C0E"/>
    <w:rsid w:val="7A2B3E1B"/>
    <w:rsid w:val="7B801500"/>
    <w:rsid w:val="7F3E0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14:ligatures w14:val="none"/>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716</Words>
  <Characters>784</Characters>
  <Lines>0</Lines>
  <Paragraphs>0</Paragraphs>
  <TotalTime>2</TotalTime>
  <ScaleCrop>false</ScaleCrop>
  <LinksUpToDate>false</LinksUpToDate>
  <CharactersWithSpaces>791</CharactersWithSpaces>
  <Application>WPS Office_11.1.0.12132_F1E327BC-269C-435d-A152-05C5408002CA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2024-04-10T00:26:00Z</dcterms:created>
  <dc:creator>DELL</dc:creator>
  <cp:lastModifiedBy>ZBY</cp:lastModifiedBy>
  <dcterms:modified xsi:type="dcterms:W3CDTF">2024-04-11T06:23:03Z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35C2C5A8E8AB476F8BA5BA6D7E754DA7_13</vt:lpwstr>
  </property>
</Properties>
</file>