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郑州市第八人民医院医用放射设备稳定性检测项目比选公告</w:t>
      </w: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郑州市第八人民医院针对新老院区医用放射设备进行稳定性检测，欢迎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具有资质和服务能力的优秀单位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参加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。</w:t>
      </w:r>
    </w:p>
    <w:p>
      <w:pPr>
        <w:numPr>
          <w:ilvl w:val="0"/>
          <w:numId w:val="0"/>
        </w:numPr>
        <w:ind w:firstLine="562" w:firstLineChars="200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  <w:lang w:val="en-US" w:eastAsia="zh-CN"/>
        </w:rPr>
        <w:t>一、项目说明</w:t>
      </w: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1.1项目名称：郑州市第八人民医院医用放射设备稳定性检测项目。</w:t>
      </w: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1.2资金来源：自筹</w:t>
      </w: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1.3控制价：贰万元整（20000元）</w:t>
      </w:r>
    </w:p>
    <w:p>
      <w:pPr>
        <w:numPr>
          <w:ilvl w:val="0"/>
          <w:numId w:val="1"/>
        </w:numPr>
        <w:ind w:firstLine="562" w:firstLineChars="200"/>
        <w:jc w:val="left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服务要求</w:t>
      </w:r>
    </w:p>
    <w:p>
      <w:pPr>
        <w:numPr>
          <w:ilvl w:val="0"/>
          <w:numId w:val="0"/>
        </w:numPr>
        <w:ind w:firstLine="560" w:firstLineChars="200"/>
        <w:jc w:val="left"/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对我院新、老院区的5台（2台DR、3台CT）医疗放射诊疗设备进行每季度1次，为期1年共4次的设备稳定性检测并出具检测报告。</w:t>
      </w:r>
    </w:p>
    <w:p>
      <w:pPr>
        <w:numPr>
          <w:ilvl w:val="0"/>
          <w:numId w:val="0"/>
        </w:numPr>
        <w:ind w:firstLine="560" w:firstLineChars="200"/>
        <w:jc w:val="left"/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2.1 CT机器检测内容包括：诊断床定位精度、重建层厚偏差、CTD1w、CT值（水）、均匀性、噪声的检测。</w:t>
      </w:r>
    </w:p>
    <w:p>
      <w:pPr>
        <w:numPr>
          <w:ilvl w:val="0"/>
          <w:numId w:val="0"/>
        </w:numPr>
        <w:ind w:firstLine="560" w:firstLineChars="200"/>
        <w:jc w:val="left"/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2.2 DR机器检测内容包括：辐射输出量重复性、曝光时间指示的偏离、AEC响应、有用线束垂直度偏离、光野与照射野四边的偏离、信号传递特性（STP)、响应均匀性、残影、伪影的检测。</w:t>
      </w:r>
    </w:p>
    <w:p>
      <w:pPr>
        <w:numPr>
          <w:ilvl w:val="0"/>
          <w:numId w:val="0"/>
        </w:numPr>
        <w:ind w:firstLine="562" w:firstLineChars="200"/>
        <w:jc w:val="left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三、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响应人资格要求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响应人必须满足响应资格要求中的所有条款，并按照相关规定递交资格证明文件。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.1响应人须具有独立法人资格,营业执照合格有效；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.2响应人须具有近三年以来类似项目业绩；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.3遵守国家有关的法律、法规和政策，近三年内，在经营活动中没有重大违法、违纪行为；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.4响应人须具有经营许可证并有所响应项目的经营范围；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单位负责人为同一人或者存在控股、管理关系的不同单位，不得同时参加同一项目的响应；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响应人签订购销合同的同时签订廉洁从业承诺书。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本次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询价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不接受联合体响应。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四、资料提交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4.1 营业执照副本复印件（需加盖公章）；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4.2项目报价单（需加盖公章）；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4.3法定代表人身份证明（需加盖公章）；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4.4所有报价单统一采用档案袋封存送达，档案袋上应体现公司名称及联系人；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4.5逾期、未按要求送达的或者未送达指定地点的报价单，采购人不予受理。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五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、报名时间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5.1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本公告公示期为3天，响应文件递交时间为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至6月24日每天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上午8时30至下午17时30分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周六、周日不接收响应文件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5.2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响应文件递交地点为郑州市第八人民医院瑞民街院区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项目办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六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、联系人及联系方式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采购人名称：郑州市第八人民医院  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地 址：郑州市二七区瑞民街5号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联 系 人：李主任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联系电话：68953205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keepNext w:val="0"/>
        <w:keepLines w:val="0"/>
        <w:widowControl w:val="0"/>
        <w:suppressLineNumbers w:val="0"/>
        <w:spacing w:before="0" w:beforeLines="50" w:beforeAutospacing="0" w:after="0" w:afterLines="50" w:afterAutospacing="0" w:line="560" w:lineRule="exact"/>
        <w:ind w:left="0" w:right="0"/>
        <w:jc w:val="center"/>
        <w:rPr>
          <w:rFonts w:hint="eastAsia" w:ascii="黑体" w:hAnsi="宋体" w:eastAsia="黑体" w:cs="黑体"/>
          <w:bCs/>
          <w:kern w:val="2"/>
          <w:sz w:val="36"/>
          <w:szCs w:val="36"/>
        </w:rPr>
      </w:pPr>
      <w:r>
        <w:rPr>
          <w:rFonts w:hint="eastAsia" w:ascii="黑体" w:hAnsi="宋体" w:eastAsia="黑体" w:cs="黑体"/>
          <w:bCs/>
          <w:kern w:val="2"/>
          <w:sz w:val="36"/>
          <w:szCs w:val="36"/>
          <w:lang w:val="en-US" w:eastAsia="zh-CN" w:bidi="ar"/>
        </w:rPr>
        <w:t>评审标准表（综合评分法）</w:t>
      </w:r>
    </w:p>
    <w:tbl>
      <w:tblPr>
        <w:tblStyle w:val="6"/>
        <w:tblW w:w="98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8"/>
        <w:gridCol w:w="846"/>
        <w:gridCol w:w="6509"/>
        <w:gridCol w:w="975"/>
        <w:gridCol w:w="10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864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评审项目</w:t>
            </w:r>
          </w:p>
        </w:tc>
        <w:tc>
          <w:tcPr>
            <w:tcW w:w="6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评审内容及规则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标准分值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业绩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1.报价供应商近三年内（截止开标时间）签订合同的合同项目服务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业绩，1项得2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分，最高得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标准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分。（投标文件中附加盖供应商公章的合同复印件）</w:t>
            </w:r>
          </w:p>
        </w:tc>
        <w:tc>
          <w:tcPr>
            <w:tcW w:w="975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财务状况</w:t>
            </w:r>
          </w:p>
        </w:tc>
        <w:tc>
          <w:tcPr>
            <w:tcW w:w="6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1.会计事务所出具的近三年财务审计报告，每一年得2分，最高3分。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2.近三年财务状况盈利状况，每一年盈利的得2分，最高6分，不盈利为0分。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信誉</w:t>
            </w:r>
          </w:p>
        </w:tc>
        <w:tc>
          <w:tcPr>
            <w:tcW w:w="6509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1.投标供应商近三年获得过税务部门颁发的企业纳税信用A级评价证书的得3分，B级评价证书的得1分，没有得0分。注：网上公示的，投标文件中须提供截图和查询网址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4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4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服务团队</w:t>
            </w:r>
          </w:p>
        </w:tc>
        <w:tc>
          <w:tcPr>
            <w:tcW w:w="6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1.拟派项目负责人具有相关行业执业证书并具有高级职称的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得3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分。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注：需同时提供证书（或相关文件）复印件及近三个月任意一个月投标供应商为其缴纳社保的证明（或者提供给劳务合同），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否则不得分。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4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4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拟派项目检测人员具有相关执业资格证书，并具有初级及以上职称证，得6分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注：需同时提供证书（或相关文件）复印件及近三个月任意一个月投标供应商为其缴纳社保的证明</w:t>
            </w:r>
            <w:bookmarkStart w:id="0" w:name="_GoBack"/>
            <w:bookmarkEnd w:id="0"/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4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技术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方案</w:t>
            </w:r>
          </w:p>
        </w:tc>
        <w:tc>
          <w:tcPr>
            <w:tcW w:w="6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1.对本项目的理解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程度：根据投标供应商对本项目技术服务内容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的理解程度，由评审委员会进行综合评议。理解得5分，比较理解得3分，基本理解得1分，偏差较大的得0分。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4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2.项目实施方案：据投标供应商提供的针对本项目的实施方案合理性，由评审委员会进行综合评议。详实得5分，比较详实得3分，基本详实得1分，方案不可行得0分。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4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3.工作计划安排：根据投标供应商提供的针对本项目工作计划安排的合理性，由评审委员会进行综合评议。完全满足要求得5分，比较满足要求得3分，基本满足要求得1分，计划安排不可行得0分。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4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4.质量保证措施、进度保证措施：根据投标供应商提供的针对本项目质量保证措施、进度保证措施的可行性，由评审委员会进行综合评议。措施切实可行得5分，可行得3分，基本可行得1分，无质保措施得0分。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4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5.售后服务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：根据投标供应商提供的针对本项目售后服务措施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，由评审委员会进行综合评议。切实可行得5分，比较可行得3分，基本可行得1分，无售后服务措施得0分。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价格评审</w:t>
            </w:r>
          </w:p>
        </w:tc>
        <w:tc>
          <w:tcPr>
            <w:tcW w:w="6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报价得分=（评标基准价/投标报价）×价格分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注：最终得分保留小数点后两位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（评标基准价为有效投标最低报价）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numPr>
          <w:ilvl w:val="0"/>
          <w:numId w:val="0"/>
        </w:numPr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9EDE1C"/>
    <w:multiLevelType w:val="singleLevel"/>
    <w:tmpl w:val="639EDE1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yY2ZiNmM2MDhjOGQ5NDE4YThiODU3ZDRmMDAzZTgifQ=="/>
  </w:docVars>
  <w:rsids>
    <w:rsidRoot w:val="4F655705"/>
    <w:rsid w:val="0C1302FB"/>
    <w:rsid w:val="3D19165B"/>
    <w:rsid w:val="45191194"/>
    <w:rsid w:val="4F655705"/>
    <w:rsid w:val="6115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qFormat/>
    <w:uiPriority w:val="0"/>
    <w:rPr>
      <w:sz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813</Words>
  <Characters>881</Characters>
  <Lines>0</Lines>
  <Paragraphs>0</Paragraphs>
  <TotalTime>266</TotalTime>
  <ScaleCrop>false</ScaleCrop>
  <LinksUpToDate>false</LinksUpToDate>
  <CharactersWithSpaces>892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2024-06-13T03:21:00Z</dcterms:created>
  <dc:creator>翔子@@</dc:creator>
  <cp:lastModifiedBy>翔子@@</cp:lastModifiedBy>
  <dcterms:modified xsi:type="dcterms:W3CDTF">2024-06-19T07:47:28Z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922BFE7B948748BFB3881AFE4D06FEB7_11</vt:lpwstr>
  </property>
</Properties>
</file>