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734D0E">
      <w:pPr>
        <w:jc w:val="center"/>
        <w:rPr>
          <w:rFonts w:hint="default" w:ascii="Times New Roman" w:hAnsi="Times New Roman" w:eastAsia="宋体" w:cs="Times New Roman"/>
          <w:b/>
          <w:bCs/>
          <w:sz w:val="30"/>
          <w:szCs w:val="30"/>
          <w:lang w:val="en-US" w:eastAsia="zh-CN"/>
        </w:rPr>
      </w:pPr>
      <w:r>
        <w:rPr>
          <w:rFonts w:hint="eastAsia" w:ascii="Times New Roman" w:hAnsi="Times New Roman" w:eastAsia="宋体" w:cs="Times New Roman"/>
          <w:b/>
          <w:bCs/>
          <w:sz w:val="30"/>
          <w:szCs w:val="30"/>
          <w:lang w:eastAsia="zh-CN"/>
        </w:rPr>
        <w:t>郑州市第八人民医院（一院两区）消防维保采购</w:t>
      </w:r>
      <w:r>
        <w:rPr>
          <w:rFonts w:hint="eastAsia" w:ascii="Times New Roman" w:hAnsi="Times New Roman" w:eastAsia="宋体" w:cs="Times New Roman"/>
          <w:b/>
          <w:bCs/>
          <w:sz w:val="30"/>
          <w:szCs w:val="30"/>
          <w:lang w:val="en-US" w:eastAsia="zh-CN"/>
        </w:rPr>
        <w:t>项目</w:t>
      </w:r>
    </w:p>
    <w:p w14:paraId="443FC6F2">
      <w:pPr>
        <w:jc w:val="center"/>
        <w:rPr>
          <w:rFonts w:hint="eastAsia" w:ascii="Times New Roman" w:hAnsi="Times New Roman" w:eastAsia="宋体" w:cs="Times New Roman"/>
          <w:b/>
          <w:bCs/>
          <w:sz w:val="30"/>
          <w:szCs w:val="30"/>
          <w:lang w:eastAsia="zh-CN"/>
        </w:rPr>
      </w:pPr>
      <w:r>
        <w:rPr>
          <w:rFonts w:hint="eastAsia" w:ascii="Times New Roman" w:hAnsi="Times New Roman" w:eastAsia="宋体" w:cs="Times New Roman"/>
          <w:b/>
          <w:bCs/>
          <w:sz w:val="30"/>
          <w:szCs w:val="30"/>
          <w:lang w:eastAsia="zh-CN"/>
        </w:rPr>
        <w:t>比选公告</w:t>
      </w:r>
    </w:p>
    <w:p w14:paraId="61400B8E">
      <w:pPr>
        <w:spacing w:line="360" w:lineRule="auto"/>
        <w:jc w:val="left"/>
        <w:outlineLvl w:val="1"/>
        <w:rPr>
          <w:rFonts w:hint="eastAsia" w:ascii="宋体" w:hAnsi="宋体" w:eastAsia="宋体" w:cs="宋体"/>
          <w:color w:val="auto"/>
          <w:szCs w:val="21"/>
          <w:highlight w:val="none"/>
        </w:rPr>
      </w:pPr>
      <w:bookmarkStart w:id="0" w:name="_Toc3630"/>
      <w:bookmarkStart w:id="1" w:name="_Toc12509"/>
      <w:bookmarkStart w:id="2" w:name="_Toc28659"/>
      <w:bookmarkStart w:id="3" w:name="_Toc11319"/>
      <w:bookmarkStart w:id="4" w:name="_Toc4065"/>
      <w:r>
        <w:rPr>
          <w:rFonts w:hint="eastAsia" w:ascii="宋体" w:hAnsi="宋体" w:eastAsia="宋体" w:cs="宋体"/>
          <w:color w:val="auto"/>
          <w:szCs w:val="21"/>
          <w:highlight w:val="none"/>
        </w:rPr>
        <w:t>一、</w:t>
      </w:r>
      <w:r>
        <w:rPr>
          <w:rFonts w:hint="eastAsia" w:ascii="宋体" w:hAnsi="宋体" w:eastAsia="宋体" w:cs="宋体"/>
          <w:b/>
          <w:bCs/>
          <w:color w:val="auto"/>
          <w:szCs w:val="21"/>
          <w:highlight w:val="none"/>
        </w:rPr>
        <w:t>项目基本概况</w:t>
      </w:r>
      <w:bookmarkEnd w:id="0"/>
      <w:bookmarkEnd w:id="1"/>
      <w:bookmarkEnd w:id="2"/>
      <w:bookmarkEnd w:id="3"/>
      <w:bookmarkEnd w:id="4"/>
    </w:p>
    <w:p w14:paraId="33135BAB">
      <w:pPr>
        <w:spacing w:line="360" w:lineRule="auto"/>
        <w:ind w:firstLine="420" w:firstLineChars="200"/>
        <w:jc w:val="left"/>
        <w:rPr>
          <w:rFonts w:hint="eastAsia" w:ascii="宋体" w:hAnsi="宋体" w:eastAsia="宋体" w:cs="宋体"/>
          <w:color w:val="auto"/>
          <w:szCs w:val="21"/>
          <w:highlight w:val="none"/>
          <w:lang w:eastAsia="zh-CN"/>
        </w:rPr>
      </w:pPr>
      <w:bookmarkStart w:id="5" w:name="_Toc14749"/>
      <w:bookmarkStart w:id="6" w:name="_Toc29680"/>
      <w:bookmarkStart w:id="7" w:name="_Toc14364"/>
      <w:bookmarkStart w:id="8" w:name="_Toc10176"/>
      <w:r>
        <w:rPr>
          <w:rFonts w:hint="eastAsia" w:ascii="宋体" w:hAnsi="宋体" w:eastAsia="宋体" w:cs="宋体"/>
          <w:color w:val="auto"/>
          <w:szCs w:val="21"/>
          <w:highlight w:val="none"/>
          <w:lang w:eastAsia="zh-CN"/>
        </w:rPr>
        <w:t>1.项目名称：郑州市第八人民医院（一院两区）消防维保采购</w:t>
      </w:r>
      <w:r>
        <w:rPr>
          <w:rFonts w:hint="eastAsia" w:ascii="宋体" w:hAnsi="宋体" w:eastAsia="宋体" w:cs="宋体"/>
          <w:color w:val="auto"/>
          <w:szCs w:val="21"/>
          <w:highlight w:val="none"/>
          <w:lang w:val="en-US" w:eastAsia="zh-CN"/>
        </w:rPr>
        <w:t>项目</w:t>
      </w:r>
      <w:r>
        <w:rPr>
          <w:rFonts w:hint="eastAsia" w:ascii="宋体" w:hAnsi="宋体" w:eastAsia="宋体" w:cs="宋体"/>
          <w:color w:val="auto"/>
          <w:szCs w:val="21"/>
          <w:highlight w:val="none"/>
          <w:lang w:eastAsia="zh-CN"/>
        </w:rPr>
        <w:t>；</w:t>
      </w:r>
    </w:p>
    <w:p w14:paraId="74885918">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预算价（最高限价）：</w:t>
      </w:r>
      <w:r>
        <w:rPr>
          <w:rFonts w:hint="eastAsia" w:ascii="宋体" w:hAnsi="宋体" w:eastAsia="宋体" w:cs="宋体"/>
          <w:color w:val="auto"/>
          <w:szCs w:val="21"/>
          <w:highlight w:val="none"/>
          <w:lang w:val="en-US" w:eastAsia="zh-CN"/>
        </w:rPr>
        <w:t>102048.24元（1.38元/㎡）；</w:t>
      </w:r>
    </w:p>
    <w:p w14:paraId="247B9F95">
      <w:pPr>
        <w:spacing w:line="360" w:lineRule="auto"/>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3.项目</w:t>
      </w:r>
      <w:r>
        <w:rPr>
          <w:rFonts w:hint="eastAsia" w:ascii="宋体" w:hAnsi="宋体" w:eastAsia="宋体" w:cs="宋体"/>
          <w:color w:val="auto"/>
          <w:szCs w:val="21"/>
          <w:highlight w:val="none"/>
          <w:lang w:eastAsia="zh-CN"/>
        </w:rPr>
        <w:t>需求（包括但不限于标的的名称、数量、简要技术需求或服务要求等）；</w:t>
      </w:r>
    </w:p>
    <w:p w14:paraId="5E6392BF">
      <w:pPr>
        <w:spacing w:line="360" w:lineRule="auto"/>
        <w:ind w:firstLine="420" w:firstLineChars="20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采购范围：</w:t>
      </w:r>
      <w:r>
        <w:rPr>
          <w:rFonts w:hint="eastAsia" w:ascii="宋体" w:hAnsi="宋体" w:eastAsia="宋体" w:cs="宋体"/>
          <w:color w:val="auto"/>
          <w:szCs w:val="21"/>
          <w:highlight w:val="none"/>
          <w:lang w:val="en-US" w:eastAsia="zh-CN"/>
        </w:rPr>
        <w:t>（具体详见比选文件第四章 技术标准和要求）；</w:t>
      </w:r>
    </w:p>
    <w:p w14:paraId="3D457D1F">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2服务</w:t>
      </w:r>
      <w:r>
        <w:rPr>
          <w:rFonts w:hint="eastAsia" w:ascii="宋体" w:hAnsi="宋体" w:eastAsia="宋体" w:cs="宋体"/>
          <w:color w:val="auto"/>
          <w:szCs w:val="21"/>
          <w:highlight w:val="none"/>
          <w:lang w:eastAsia="zh-CN"/>
        </w:rPr>
        <w:t>期：</w:t>
      </w:r>
      <w:r>
        <w:rPr>
          <w:rFonts w:hint="eastAsia" w:ascii="宋体" w:hAnsi="宋体" w:eastAsia="宋体" w:cs="宋体"/>
          <w:color w:val="auto"/>
          <w:szCs w:val="21"/>
          <w:highlight w:val="none"/>
          <w:lang w:val="en-US" w:eastAsia="zh-CN"/>
        </w:rPr>
        <w:t>一年；</w:t>
      </w:r>
    </w:p>
    <w:p w14:paraId="3CC8C292">
      <w:pPr>
        <w:pStyle w:val="9"/>
        <w:ind w:firstLine="420" w:firstLineChars="200"/>
        <w:rPr>
          <w:rFonts w:hint="default"/>
          <w:highlight w:val="none"/>
          <w:lang w:val="en-US" w:eastAsia="zh-CN"/>
        </w:rPr>
      </w:pPr>
      <w:r>
        <w:rPr>
          <w:rFonts w:hint="eastAsia" w:ascii="宋体" w:hAnsi="宋体" w:eastAsia="宋体" w:cs="宋体"/>
          <w:color w:val="auto"/>
          <w:szCs w:val="21"/>
          <w:highlight w:val="none"/>
          <w:lang w:val="en-US" w:eastAsia="zh-CN"/>
        </w:rPr>
        <w:t>3.3服务地点：采购人指定地点；</w:t>
      </w:r>
    </w:p>
    <w:p w14:paraId="5BA86F8E">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lang w:eastAsia="zh-CN"/>
        </w:rPr>
        <w:t>质量要求：</w:t>
      </w:r>
      <w:r>
        <w:rPr>
          <w:rFonts w:hint="eastAsia" w:ascii="宋体" w:hAnsi="宋体" w:eastAsia="宋体" w:cs="宋体"/>
          <w:color w:val="auto"/>
          <w:szCs w:val="21"/>
          <w:highlight w:val="none"/>
          <w:lang w:val="en-US" w:eastAsia="zh-CN"/>
        </w:rPr>
        <w:t>合格，符合国家、行业相关标准及要求。</w:t>
      </w:r>
    </w:p>
    <w:p w14:paraId="5EE20AA9">
      <w:pPr>
        <w:spacing w:line="360" w:lineRule="auto"/>
        <w:ind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4.4.采购方式：院内公开比选，采用两轮报价（二次报价）方式。</w:t>
      </w:r>
    </w:p>
    <w:p w14:paraId="5A8BD2CA">
      <w:pPr>
        <w:spacing w:line="360" w:lineRule="auto"/>
        <w:jc w:val="left"/>
        <w:outlineLvl w:val="1"/>
        <w:rPr>
          <w:rFonts w:hint="eastAsia" w:ascii="宋体" w:hAnsi="宋体" w:eastAsia="宋体" w:cs="宋体"/>
          <w:b/>
          <w:bCs/>
          <w:color w:val="auto"/>
          <w:szCs w:val="21"/>
          <w:highlight w:val="none"/>
        </w:rPr>
      </w:pPr>
      <w:bookmarkStart w:id="9" w:name="_Toc27834"/>
      <w:r>
        <w:rPr>
          <w:rFonts w:hint="eastAsia" w:ascii="宋体" w:hAnsi="宋体" w:eastAsia="宋体" w:cs="宋体"/>
          <w:b/>
          <w:bCs/>
          <w:color w:val="auto"/>
          <w:szCs w:val="21"/>
          <w:highlight w:val="none"/>
        </w:rPr>
        <w:t>二、供应商的资格要求</w:t>
      </w:r>
      <w:bookmarkEnd w:id="5"/>
      <w:bookmarkEnd w:id="6"/>
      <w:bookmarkEnd w:id="7"/>
      <w:bookmarkEnd w:id="8"/>
      <w:bookmarkEnd w:id="9"/>
    </w:p>
    <w:p w14:paraId="7FC96AE4">
      <w:pPr>
        <w:pStyle w:val="2"/>
        <w:spacing w:after="0" w:line="360" w:lineRule="auto"/>
        <w:ind w:firstLine="420" w:firstLineChars="200"/>
        <w:rPr>
          <w:rFonts w:hint="eastAsia" w:ascii="宋体" w:hAnsi="宋体" w:eastAsia="宋体" w:cs="宋体"/>
          <w:color w:val="auto"/>
          <w:szCs w:val="21"/>
          <w:highlight w:val="none"/>
          <w:lang w:eastAsia="zh-CN"/>
        </w:rPr>
      </w:pPr>
      <w:bookmarkStart w:id="10" w:name="_Toc28197"/>
      <w:bookmarkStart w:id="11" w:name="_Toc21404"/>
      <w:bookmarkStart w:id="12" w:name="_Toc8549"/>
      <w:r>
        <w:rPr>
          <w:rFonts w:hint="eastAsia" w:ascii="宋体" w:hAnsi="宋体" w:eastAsia="宋体" w:cs="宋体"/>
          <w:color w:val="auto"/>
          <w:szCs w:val="21"/>
          <w:highlight w:val="none"/>
          <w:lang w:eastAsia="zh-CN"/>
        </w:rPr>
        <w:t>1.</w:t>
      </w:r>
      <w:r>
        <w:rPr>
          <w:rFonts w:hint="eastAsia" w:ascii="宋体" w:hAnsi="宋体" w:eastAsia="宋体" w:cs="宋体"/>
          <w:color w:val="auto"/>
          <w:szCs w:val="21"/>
          <w:highlight w:val="none"/>
        </w:rPr>
        <w:t>供应商应当持有合法有效的营业执照（三证合一）</w:t>
      </w:r>
      <w:r>
        <w:rPr>
          <w:rFonts w:hint="eastAsia" w:ascii="宋体" w:hAnsi="宋体" w:eastAsia="宋体" w:cs="宋体"/>
          <w:color w:val="auto"/>
          <w:szCs w:val="21"/>
          <w:highlight w:val="none"/>
          <w:lang w:eastAsia="zh-CN"/>
        </w:rPr>
        <w:t>；</w:t>
      </w:r>
    </w:p>
    <w:p w14:paraId="13DCA7C4">
      <w:pPr>
        <w:pStyle w:val="2"/>
        <w:spacing w:after="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信誉要求</w:t>
      </w:r>
    </w:p>
    <w:p w14:paraId="49C74B12">
      <w:pPr>
        <w:pStyle w:val="2"/>
        <w:adjustRightInd w:val="0"/>
        <w:snapToGrid w:val="0"/>
        <w:spacing w:after="0"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.1根据《关于在政府采购活动中查询及使用信用记录有关问题的通知》</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财库</w:t>
      </w:r>
      <w:r>
        <w:rPr>
          <w:rFonts w:hint="eastAsia" w:ascii="宋体" w:hAnsi="宋体" w:eastAsia="宋体" w:cs="宋体"/>
          <w:color w:val="auto"/>
          <w:szCs w:val="21"/>
          <w:highlight w:val="none"/>
          <w:lang w:eastAsia="zh-CN"/>
        </w:rPr>
        <w:t>〔2016〕125号）</w:t>
      </w:r>
      <w:r>
        <w:rPr>
          <w:rFonts w:hint="eastAsia" w:ascii="宋体" w:hAnsi="宋体" w:eastAsia="宋体" w:cs="宋体"/>
          <w:color w:val="auto"/>
          <w:szCs w:val="21"/>
          <w:highlight w:val="none"/>
        </w:rPr>
        <w:t>和豫财购</w:t>
      </w:r>
      <w:r>
        <w:rPr>
          <w:rFonts w:hint="eastAsia" w:ascii="宋体" w:hAnsi="宋体" w:eastAsia="宋体" w:cs="宋体"/>
          <w:color w:val="auto"/>
          <w:szCs w:val="21"/>
          <w:highlight w:val="none"/>
          <w:lang w:eastAsia="zh-CN"/>
        </w:rPr>
        <w:t>〔2016〕15号</w:t>
      </w:r>
      <w:r>
        <w:rPr>
          <w:rFonts w:hint="eastAsia" w:ascii="宋体" w:hAnsi="宋体" w:eastAsia="宋体" w:cs="宋体"/>
          <w:color w:val="auto"/>
          <w:szCs w:val="21"/>
          <w:highlight w:val="none"/>
        </w:rPr>
        <w:t>的规定，对列入失信被执行人、重大税收违法失信主体、政府采购严重违法失信行为记录名单的企业，拒绝参与本项目政府采购活动（查询渠道：“中国执行信息公开网（zxgk.court.gov.cn）（信用中国网站可跳转）”查询：失信被执行人；“信用中国”网站（www.creditchina.gov.cn）查询：重大税收违法失信主体、“中国政府采购网”（www.ccgp.gov.cn）查询：政府采购严重违法失信行为记录名单）；</w:t>
      </w:r>
    </w:p>
    <w:p w14:paraId="1D898A65">
      <w:pPr>
        <w:pStyle w:val="2"/>
        <w:adjustRightInd w:val="0"/>
        <w:snapToGrid w:val="0"/>
        <w:spacing w:after="0"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.2供应商未处于被责令停业、资格被取消或者财产被接管、冻结和破产状态；最近三年内没有骗取中标或者严重违约以及发生重大工程质量等问题，未存在被有关部门暂停资格并在暂停期内的情况</w:t>
      </w:r>
      <w:r>
        <w:rPr>
          <w:rFonts w:hint="eastAsia" w:ascii="宋体" w:hAnsi="宋体" w:eastAsia="宋体" w:cs="宋体"/>
          <w:color w:val="auto"/>
          <w:szCs w:val="21"/>
          <w:highlight w:val="none"/>
          <w:lang w:eastAsia="zh-CN"/>
        </w:rPr>
        <w:t>；</w:t>
      </w:r>
    </w:p>
    <w:p w14:paraId="4279A87C">
      <w:pPr>
        <w:pStyle w:val="2"/>
        <w:spacing w:after="0" w:line="360"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.3供应商单位负责人为同一人或者存在直接控股、管理关系的不同单位，不得同时参与该项目</w:t>
      </w:r>
      <w:r>
        <w:rPr>
          <w:rFonts w:hint="eastAsia" w:ascii="宋体" w:hAnsi="宋体" w:eastAsia="宋体" w:cs="宋体"/>
          <w:color w:val="auto"/>
          <w:szCs w:val="21"/>
          <w:highlight w:val="none"/>
          <w:lang w:eastAsia="zh-CN"/>
        </w:rPr>
        <w:t>；需提供“国家企业信用信息公示系统”中公示的公司信息、股东（或投资人）信息（或提供单位负责人与其他供应商不为同一人或者存在控股、管理关系的承诺书）；</w:t>
      </w:r>
    </w:p>
    <w:p w14:paraId="412B1E29">
      <w:pPr>
        <w:pStyle w:val="2"/>
        <w:numPr>
          <w:ilvl w:val="0"/>
          <w:numId w:val="0"/>
        </w:numPr>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3、本项目的特定资格要求</w:t>
      </w:r>
    </w:p>
    <w:p w14:paraId="6DA25ED0">
      <w:pPr>
        <w:pStyle w:val="2"/>
        <w:numPr>
          <w:ilvl w:val="0"/>
          <w:numId w:val="0"/>
        </w:numPr>
        <w:spacing w:after="0" w:line="36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3.1消防维保服务的资格要求如下：</w:t>
      </w:r>
    </w:p>
    <w:p w14:paraId="4A4FA4C0">
      <w:pPr>
        <w:pStyle w:val="2"/>
        <w:numPr>
          <w:ilvl w:val="0"/>
          <w:numId w:val="0"/>
        </w:numPr>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须具备消防设施维护保养检测能力的社会消防技术服务机构，同时在以下两个平台备案，业务范围包含消防设施维护保养检测：</w:t>
      </w:r>
    </w:p>
    <w:p w14:paraId="064F279B">
      <w:pPr>
        <w:pStyle w:val="2"/>
        <w:numPr>
          <w:ilvl w:val="0"/>
          <w:numId w:val="0"/>
        </w:numPr>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（1）社会消防技术服务信息系统；</w:t>
      </w:r>
    </w:p>
    <w:p w14:paraId="4EDDA60C">
      <w:pPr>
        <w:pStyle w:val="2"/>
        <w:numPr>
          <w:ilvl w:val="0"/>
          <w:numId w:val="0"/>
        </w:numPr>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（2）河南省建设工程消防技术服务阳光平台。</w:t>
      </w:r>
    </w:p>
    <w:p w14:paraId="16BEAB5E">
      <w:pPr>
        <w:pStyle w:val="2"/>
        <w:numPr>
          <w:ilvl w:val="0"/>
          <w:numId w:val="0"/>
        </w:numPr>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4.具有履行合同所必需的设备和专业技术能力；</w:t>
      </w:r>
    </w:p>
    <w:p w14:paraId="5A50AEE0">
      <w:pPr>
        <w:pStyle w:val="2"/>
        <w:spacing w:after="0"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5.本项目不接受联合体投标。</w:t>
      </w:r>
    </w:p>
    <w:p w14:paraId="42661D2A">
      <w:pPr>
        <w:numPr>
          <w:ilvl w:val="0"/>
          <w:numId w:val="0"/>
        </w:numPr>
        <w:spacing w:line="360" w:lineRule="auto"/>
        <w:rPr>
          <w:rFonts w:hint="eastAsia"/>
          <w:b/>
          <w:bCs/>
          <w:lang w:val="en-US" w:eastAsia="zh-CN"/>
        </w:rPr>
      </w:pPr>
      <w:r>
        <w:rPr>
          <w:rFonts w:hint="eastAsia"/>
          <w:b/>
          <w:bCs/>
          <w:lang w:val="en-US" w:eastAsia="zh-CN"/>
        </w:rPr>
        <w:t>三、比选方式及二次报价规则</w:t>
      </w:r>
    </w:p>
    <w:p w14:paraId="053544F3">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本项目采用一轮初报价+二轮最终报价方式进行，全程现场密封报价，规则如下：</w:t>
      </w:r>
    </w:p>
    <w:p w14:paraId="7ED84FB2">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 第一轮报价（初审报价）：各供应商现场提交密封初次报价文件，评委对资质、资料、技术方案、服务条款进行资格及符合性审查，资格审查合格供应商全部进入第二轮报价。</w:t>
      </w:r>
    </w:p>
    <w:p w14:paraId="2792D2ED">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 第二轮报价（最终报价）：合格供应商现场进行二次密封报价；二次报价为最终报价，不得高于自身第一轮报价，一经提交不可修改、撤回。</w:t>
      </w:r>
    </w:p>
    <w:p w14:paraId="79DDAE70">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 报价要求：所有报价均为一次性包干含税总价，包含货物、材料、运输、装卸、安装、调试、培训、质保、税费等一切费用，医院不再额外支付其他费用。</w:t>
      </w:r>
    </w:p>
    <w:p w14:paraId="0415FB3B">
      <w:pPr>
        <w:numPr>
          <w:ilvl w:val="0"/>
          <w:numId w:val="0"/>
        </w:num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4. 中标原则：本项目采用综合评分法。在满足采购需求、资质合格、服务达标的前提下，以二次最终报价为主要评审依据，择优确定中选单位。</w:t>
      </w:r>
    </w:p>
    <w:p w14:paraId="7CCE213C">
      <w:pPr>
        <w:numPr>
          <w:ilvl w:val="0"/>
          <w:numId w:val="0"/>
        </w:numPr>
        <w:spacing w:line="360" w:lineRule="auto"/>
        <w:rPr>
          <w:rFonts w:hint="eastAsia"/>
          <w:b/>
          <w:bCs/>
          <w:highlight w:val="none"/>
          <w:lang w:eastAsia="zh-CN"/>
        </w:rPr>
      </w:pPr>
      <w:r>
        <w:rPr>
          <w:rFonts w:hint="eastAsia"/>
          <w:b/>
          <w:bCs/>
          <w:lang w:val="en-US" w:eastAsia="zh-CN"/>
        </w:rPr>
        <w:t>四</w:t>
      </w:r>
      <w:r>
        <w:rPr>
          <w:rFonts w:hint="eastAsia"/>
          <w:b/>
          <w:bCs/>
          <w:lang w:eastAsia="zh-CN"/>
        </w:rPr>
        <w:t>、</w:t>
      </w:r>
      <w:r>
        <w:rPr>
          <w:rFonts w:hint="eastAsia"/>
          <w:b/>
          <w:bCs/>
          <w:highlight w:val="none"/>
          <w:lang w:eastAsia="zh-CN"/>
        </w:rPr>
        <w:t>响应文件提交要求</w:t>
      </w:r>
    </w:p>
    <w:p w14:paraId="0221C263">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1.营业执照副本复印件（需加盖公章）；</w:t>
      </w:r>
    </w:p>
    <w:p w14:paraId="0F47CA00">
      <w:pPr>
        <w:numPr>
          <w:ilvl w:val="0"/>
          <w:numId w:val="0"/>
        </w:numPr>
        <w:spacing w:line="360" w:lineRule="auto"/>
        <w:ind w:firstLine="420" w:firstLineChars="200"/>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2.资质证明（需加盖公章）；</w:t>
      </w:r>
    </w:p>
    <w:p w14:paraId="6A596410">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2.项目报价单（需加盖公章）；</w:t>
      </w:r>
    </w:p>
    <w:p w14:paraId="60A1142A">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3.法定代表人身份证明（需加盖公章）；</w:t>
      </w:r>
    </w:p>
    <w:p w14:paraId="14679890">
      <w:pPr>
        <w:numPr>
          <w:ilvl w:val="0"/>
          <w:numId w:val="0"/>
        </w:numPr>
        <w:spacing w:line="360" w:lineRule="auto"/>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4.响应文件应采用胶装方式进行装订，不得出现散页现象。正、副本比选响应文件应一起密封送达，密封袋上应体现项目名称、公司名称、联系人及联系电话。</w:t>
      </w:r>
    </w:p>
    <w:p w14:paraId="23EC1E73">
      <w:pPr>
        <w:pStyle w:val="2"/>
        <w:keepNext w:val="0"/>
        <w:keepLines w:val="0"/>
        <w:pageBreakBefore w:val="0"/>
        <w:widowControl w:val="0"/>
        <w:kinsoku/>
        <w:wordWrap/>
        <w:overflowPunct/>
        <w:topLinePunct w:val="0"/>
        <w:autoSpaceDE/>
        <w:autoSpaceDN/>
        <w:bidi w:val="0"/>
        <w:spacing w:after="0" w:line="360" w:lineRule="auto"/>
        <w:jc w:val="left"/>
        <w:textAlignment w:val="auto"/>
        <w:outlineLvl w:val="1"/>
        <w:rPr>
          <w:rFonts w:hint="eastAsia" w:ascii="宋体" w:hAnsi="宋体" w:eastAsia="宋体" w:cs="宋体"/>
          <w:b/>
          <w:bCs/>
          <w:color w:val="auto"/>
          <w:szCs w:val="21"/>
          <w:highlight w:val="none"/>
        </w:rPr>
      </w:pPr>
      <w:bookmarkStart w:id="13" w:name="_Toc29901"/>
      <w:bookmarkStart w:id="14" w:name="_Toc24507"/>
      <w:r>
        <w:rPr>
          <w:rFonts w:hint="eastAsia" w:ascii="宋体" w:hAnsi="宋体" w:eastAsia="宋体" w:cs="宋体"/>
          <w:b/>
          <w:bCs/>
          <w:color w:val="auto"/>
          <w:szCs w:val="21"/>
          <w:highlight w:val="none"/>
          <w:lang w:val="en-US" w:eastAsia="zh-CN"/>
        </w:rPr>
        <w:t>五</w:t>
      </w: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比选</w:t>
      </w:r>
      <w:r>
        <w:rPr>
          <w:rFonts w:hint="eastAsia" w:ascii="宋体" w:hAnsi="宋体" w:eastAsia="宋体" w:cs="宋体"/>
          <w:b/>
          <w:bCs/>
          <w:color w:val="auto"/>
          <w:szCs w:val="21"/>
          <w:highlight w:val="none"/>
        </w:rPr>
        <w:t>文件获取方式</w:t>
      </w:r>
      <w:bookmarkEnd w:id="10"/>
      <w:bookmarkEnd w:id="11"/>
      <w:bookmarkEnd w:id="12"/>
      <w:bookmarkEnd w:id="13"/>
      <w:bookmarkEnd w:id="14"/>
    </w:p>
    <w:p w14:paraId="4687970D">
      <w:pPr>
        <w:pStyle w:val="13"/>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bookmarkStart w:id="15" w:name="_Toc12867"/>
      <w:bookmarkStart w:id="16" w:name="_Toc7488"/>
      <w:r>
        <w:rPr>
          <w:rFonts w:hint="eastAsia" w:ascii="宋体" w:hAnsi="宋体" w:eastAsia="宋体" w:cs="宋体"/>
          <w:b w:val="0"/>
          <w:color w:val="auto"/>
          <w:kern w:val="2"/>
          <w:sz w:val="21"/>
          <w:szCs w:val="21"/>
          <w:highlight w:val="none"/>
          <w:lang w:val="en-US" w:eastAsia="zh-CN" w:bidi="ar-SA"/>
        </w:rPr>
        <w:t>1.时间：2026年5月13日15时30分至2026年5月19日17时00分(北京时间，法定公休日、节假日除外)；</w:t>
      </w:r>
    </w:p>
    <w:p w14:paraId="22FAC807">
      <w:pPr>
        <w:pStyle w:val="13"/>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ascii="宋体" w:hAnsi="宋体" w:eastAsia="宋体" w:cs="宋体"/>
          <w:b w:val="0"/>
          <w:color w:val="auto"/>
          <w:kern w:val="2"/>
          <w:sz w:val="21"/>
          <w:szCs w:val="21"/>
          <w:highlight w:val="none"/>
          <w:lang w:val="en-US" w:eastAsia="zh-CN" w:bidi="ar-SA"/>
        </w:rPr>
      </w:pPr>
      <w:r>
        <w:rPr>
          <w:rFonts w:hint="eastAsia" w:ascii="宋体" w:hAnsi="宋体" w:eastAsia="宋体" w:cs="宋体"/>
          <w:b w:val="0"/>
          <w:color w:val="auto"/>
          <w:kern w:val="2"/>
          <w:sz w:val="21"/>
          <w:szCs w:val="21"/>
          <w:highlight w:val="none"/>
          <w:lang w:val="en-US" w:eastAsia="zh-CN" w:bidi="ar-SA"/>
        </w:rPr>
        <w:t>2.方式：邮件获取，供应商需将营业执照、法定代表人授权委托书（含被授权人联系方式）的扫描件加盖公章发送至采购人电子邮箱 zzbycgb@163.com (邮箱发送标题为：项目名称+公司名称)。采购人在当日17时前回复邮件，联系电话：0371-66120365。</w:t>
      </w:r>
    </w:p>
    <w:bookmarkEnd w:id="15"/>
    <w:p w14:paraId="1E3FB4C8">
      <w:pPr>
        <w:pStyle w:val="2"/>
        <w:keepNext w:val="0"/>
        <w:keepLines w:val="0"/>
        <w:pageBreakBefore w:val="0"/>
        <w:widowControl w:val="0"/>
        <w:kinsoku/>
        <w:wordWrap/>
        <w:overflowPunct/>
        <w:topLinePunct w:val="0"/>
        <w:autoSpaceDE/>
        <w:autoSpaceDN/>
        <w:bidi w:val="0"/>
        <w:adjustRightInd/>
        <w:snapToGrid/>
        <w:spacing w:after="0" w:line="360" w:lineRule="auto"/>
        <w:jc w:val="left"/>
        <w:textAlignment w:val="auto"/>
        <w:outlineLvl w:val="1"/>
        <w:rPr>
          <w:rFonts w:hint="eastAsia" w:ascii="宋体" w:hAnsi="宋体" w:eastAsia="宋体" w:cs="宋体"/>
          <w:color w:val="auto"/>
          <w:szCs w:val="21"/>
          <w:highlight w:val="none"/>
        </w:rPr>
      </w:pPr>
      <w:bookmarkStart w:id="17" w:name="_Toc30802"/>
      <w:bookmarkStart w:id="18" w:name="_Toc26444"/>
      <w:bookmarkStart w:id="19" w:name="_Toc3990"/>
      <w:bookmarkStart w:id="20" w:name="_Toc9849"/>
      <w:r>
        <w:rPr>
          <w:rFonts w:hint="eastAsia" w:ascii="宋体" w:hAnsi="宋体" w:eastAsia="宋体" w:cs="宋体"/>
          <w:b/>
          <w:bCs/>
          <w:color w:val="auto"/>
          <w:szCs w:val="21"/>
          <w:highlight w:val="none"/>
          <w:lang w:val="en-US" w:eastAsia="zh-CN"/>
        </w:rPr>
        <w:t>六</w:t>
      </w:r>
      <w:r>
        <w:rPr>
          <w:rFonts w:hint="eastAsia" w:ascii="宋体" w:hAnsi="宋体" w:eastAsia="宋体" w:cs="宋体"/>
          <w:b/>
          <w:bCs/>
          <w:color w:val="auto"/>
          <w:szCs w:val="21"/>
          <w:highlight w:val="none"/>
        </w:rPr>
        <w:t>、</w:t>
      </w:r>
      <w:bookmarkEnd w:id="16"/>
      <w:r>
        <w:rPr>
          <w:rFonts w:hint="eastAsia" w:ascii="宋体" w:hAnsi="宋体" w:eastAsia="宋体" w:cs="宋体"/>
          <w:b/>
          <w:bCs/>
          <w:color w:val="auto"/>
          <w:szCs w:val="21"/>
          <w:highlight w:val="none"/>
          <w:lang w:eastAsia="zh-CN"/>
        </w:rPr>
        <w:t>比选</w:t>
      </w:r>
      <w:r>
        <w:rPr>
          <w:rFonts w:hint="eastAsia" w:ascii="宋体" w:hAnsi="宋体" w:eastAsia="宋体" w:cs="宋体"/>
          <w:b/>
          <w:bCs/>
          <w:color w:val="auto"/>
          <w:szCs w:val="21"/>
          <w:highlight w:val="none"/>
        </w:rPr>
        <w:t>响应文件提交的截止时间及地点</w:t>
      </w:r>
      <w:bookmarkEnd w:id="17"/>
      <w:bookmarkEnd w:id="18"/>
      <w:bookmarkEnd w:id="19"/>
      <w:bookmarkEnd w:id="20"/>
      <w:bookmarkStart w:id="21" w:name="_Toc31607"/>
      <w:bookmarkStart w:id="22" w:name="_Toc5694"/>
    </w:p>
    <w:bookmarkEnd w:id="21"/>
    <w:p w14:paraId="53356638">
      <w:pPr>
        <w:pStyle w:val="8"/>
        <w:keepNext w:val="0"/>
        <w:keepLines w:val="0"/>
        <w:pageBreakBefore w:val="0"/>
        <w:widowControl/>
        <w:kinsoku/>
        <w:wordWrap/>
        <w:overflowPunct/>
        <w:topLinePunct w:val="0"/>
        <w:autoSpaceDE/>
        <w:autoSpaceDN/>
        <w:bidi w:val="0"/>
        <w:adjustRightInd/>
        <w:snapToGrid/>
        <w:spacing w:before="0" w:beforeAutospacing="0" w:afterAutospacing="0"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bookmarkStart w:id="23" w:name="_Toc23026"/>
      <w:bookmarkStart w:id="24" w:name="_Toc17472"/>
      <w:bookmarkStart w:id="25" w:name="_Toc20300"/>
      <w:r>
        <w:rPr>
          <w:rFonts w:hint="eastAsia" w:ascii="宋体" w:hAnsi="宋体" w:eastAsia="宋体" w:cs="宋体"/>
          <w:color w:val="auto"/>
          <w:kern w:val="0"/>
          <w:sz w:val="21"/>
          <w:szCs w:val="21"/>
          <w:highlight w:val="none"/>
          <w:lang w:val="en-US" w:eastAsia="zh-CN" w:bidi="ar-SA"/>
        </w:rPr>
        <w:t>1.本通知发出后公示</w:t>
      </w:r>
      <w:r>
        <w:rPr>
          <w:rFonts w:hint="eastAsia" w:eastAsia="宋体" w:cs="宋体"/>
          <w:color w:val="auto"/>
          <w:kern w:val="0"/>
          <w:sz w:val="21"/>
          <w:szCs w:val="21"/>
          <w:highlight w:val="none"/>
          <w:lang w:val="en-US" w:eastAsia="zh-CN" w:bidi="ar-SA"/>
        </w:rPr>
        <w:t>7</w:t>
      </w:r>
      <w:r>
        <w:rPr>
          <w:rFonts w:hint="eastAsia" w:ascii="宋体" w:hAnsi="宋体" w:eastAsia="宋体" w:cs="宋体"/>
          <w:color w:val="auto"/>
          <w:kern w:val="0"/>
          <w:sz w:val="21"/>
          <w:szCs w:val="21"/>
          <w:highlight w:val="none"/>
          <w:lang w:val="en-US" w:eastAsia="zh-CN" w:bidi="ar-SA"/>
        </w:rPr>
        <w:t>个工作日，比选响应文件递交截止时间202</w:t>
      </w:r>
      <w:r>
        <w:rPr>
          <w:rFonts w:hint="eastAsia" w:eastAsia="宋体" w:cs="宋体"/>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lang w:val="en-US" w:eastAsia="zh-CN" w:bidi="ar-SA"/>
        </w:rPr>
        <w:t>年</w:t>
      </w:r>
      <w:r>
        <w:rPr>
          <w:rFonts w:hint="eastAsia" w:eastAsia="宋体" w:cs="宋体"/>
          <w:color w:val="auto"/>
          <w:kern w:val="0"/>
          <w:sz w:val="21"/>
          <w:szCs w:val="21"/>
          <w:highlight w:val="none"/>
          <w:lang w:val="en-US" w:eastAsia="zh-CN" w:bidi="ar-SA"/>
        </w:rPr>
        <w:t>5</w:t>
      </w:r>
      <w:r>
        <w:rPr>
          <w:rFonts w:hint="eastAsia" w:ascii="宋体" w:hAnsi="宋体" w:eastAsia="宋体" w:cs="宋体"/>
          <w:color w:val="auto"/>
          <w:kern w:val="0"/>
          <w:sz w:val="21"/>
          <w:szCs w:val="21"/>
          <w:highlight w:val="none"/>
          <w:lang w:val="en-US" w:eastAsia="zh-CN" w:bidi="ar-SA"/>
        </w:rPr>
        <w:t>月</w:t>
      </w:r>
      <w:r>
        <w:rPr>
          <w:rFonts w:hint="eastAsia" w:eastAsia="宋体" w:cs="宋体"/>
          <w:color w:val="auto"/>
          <w:kern w:val="0"/>
          <w:sz w:val="21"/>
          <w:szCs w:val="21"/>
          <w:highlight w:val="none"/>
          <w:lang w:val="en-US" w:eastAsia="zh-CN" w:bidi="ar-SA"/>
        </w:rPr>
        <w:t>21</w:t>
      </w:r>
      <w:r>
        <w:rPr>
          <w:rFonts w:hint="eastAsia" w:ascii="宋体" w:hAnsi="宋体" w:eastAsia="宋体" w:cs="宋体"/>
          <w:color w:val="auto"/>
          <w:kern w:val="0"/>
          <w:sz w:val="21"/>
          <w:szCs w:val="21"/>
          <w:highlight w:val="none"/>
          <w:lang w:val="en-US" w:eastAsia="zh-CN" w:bidi="ar-SA"/>
        </w:rPr>
        <w:t>日</w:t>
      </w:r>
      <w:r>
        <w:rPr>
          <w:rFonts w:hint="eastAsia" w:eastAsia="宋体" w:cs="宋体"/>
          <w:color w:val="auto"/>
          <w:kern w:val="0"/>
          <w:sz w:val="21"/>
          <w:szCs w:val="21"/>
          <w:highlight w:val="none"/>
          <w:lang w:val="en-US" w:eastAsia="zh-CN" w:bidi="ar-SA"/>
        </w:rPr>
        <w:t>10</w:t>
      </w:r>
      <w:r>
        <w:rPr>
          <w:rFonts w:hint="eastAsia" w:ascii="宋体" w:hAnsi="宋体" w:eastAsia="宋体" w:cs="宋体"/>
          <w:color w:val="auto"/>
          <w:kern w:val="0"/>
          <w:sz w:val="21"/>
          <w:szCs w:val="21"/>
          <w:highlight w:val="none"/>
          <w:lang w:val="en-US" w:eastAsia="zh-CN" w:bidi="ar-SA"/>
        </w:rPr>
        <w:t>时</w:t>
      </w:r>
      <w:r>
        <w:rPr>
          <w:rFonts w:hint="eastAsia" w:eastAsia="宋体" w:cs="宋体"/>
          <w:color w:val="auto"/>
          <w:kern w:val="0"/>
          <w:sz w:val="21"/>
          <w:szCs w:val="21"/>
          <w:highlight w:val="none"/>
          <w:lang w:val="en-US" w:eastAsia="zh-CN" w:bidi="ar-SA"/>
        </w:rPr>
        <w:t>00</w:t>
      </w:r>
      <w:r>
        <w:rPr>
          <w:rFonts w:hint="eastAsia" w:ascii="宋体" w:hAnsi="宋体" w:eastAsia="宋体" w:cs="宋体"/>
          <w:color w:val="auto"/>
          <w:kern w:val="0"/>
          <w:sz w:val="21"/>
          <w:szCs w:val="21"/>
          <w:highlight w:val="none"/>
          <w:lang w:val="en-US" w:eastAsia="zh-CN" w:bidi="ar-SA"/>
        </w:rPr>
        <w:t>分；逾期送达的响应文件，采购人不予受理；</w:t>
      </w:r>
    </w:p>
    <w:p w14:paraId="513E5F35">
      <w:pPr>
        <w:pStyle w:val="8"/>
        <w:keepNext w:val="0"/>
        <w:keepLines w:val="0"/>
        <w:pageBreakBefore w:val="0"/>
        <w:widowControl/>
        <w:kinsoku/>
        <w:wordWrap/>
        <w:overflowPunct/>
        <w:topLinePunct w:val="0"/>
        <w:autoSpaceDE/>
        <w:autoSpaceDN/>
        <w:bidi w:val="0"/>
        <w:adjustRightInd/>
        <w:snapToGrid/>
        <w:spacing w:before="0" w:beforeAutospacing="0" w:afterAutospacing="0" w:line="360" w:lineRule="auto"/>
        <w:ind w:firstLine="420" w:firstLineChars="20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2.比选响应文件递交地点：郑州市第八人民医院宜居健康城院区保障用房楼2楼会议室（郑州市荥阳健康园区康体西路与京城路交叉口东南角）。</w:t>
      </w:r>
    </w:p>
    <w:p w14:paraId="7EB11E29">
      <w:pPr>
        <w:pStyle w:val="2"/>
        <w:spacing w:after="0" w:line="360" w:lineRule="auto"/>
        <w:jc w:val="left"/>
        <w:outlineLvl w:val="1"/>
        <w:rPr>
          <w:rFonts w:hint="eastAsia" w:ascii="宋体" w:hAnsi="宋体" w:eastAsia="宋体" w:cs="宋体"/>
          <w:b/>
          <w:bCs/>
          <w:color w:val="auto"/>
          <w:szCs w:val="21"/>
          <w:highlight w:val="none"/>
          <w:lang w:eastAsia="zh-CN"/>
        </w:rPr>
      </w:pPr>
      <w:bookmarkStart w:id="26" w:name="_Toc29776"/>
      <w:r>
        <w:rPr>
          <w:rFonts w:hint="eastAsia" w:ascii="宋体" w:hAnsi="宋体" w:eastAsia="宋体" w:cs="宋体"/>
          <w:b/>
          <w:bCs/>
          <w:color w:val="auto"/>
          <w:szCs w:val="21"/>
          <w:highlight w:val="none"/>
          <w:lang w:val="en-US" w:eastAsia="zh-CN"/>
        </w:rPr>
        <w:t>七</w:t>
      </w:r>
      <w:r>
        <w:rPr>
          <w:rFonts w:hint="eastAsia" w:ascii="宋体" w:hAnsi="宋体" w:eastAsia="宋体" w:cs="宋体"/>
          <w:b/>
          <w:bCs/>
          <w:color w:val="auto"/>
          <w:szCs w:val="21"/>
          <w:highlight w:val="none"/>
        </w:rPr>
        <w:t>、响应文件开启</w:t>
      </w:r>
      <w:bookmarkEnd w:id="22"/>
      <w:bookmarkEnd w:id="23"/>
      <w:bookmarkEnd w:id="24"/>
      <w:bookmarkEnd w:id="25"/>
      <w:r>
        <w:rPr>
          <w:rFonts w:hint="eastAsia" w:ascii="宋体" w:hAnsi="宋体" w:eastAsia="宋体" w:cs="宋体"/>
          <w:b/>
          <w:bCs/>
          <w:color w:val="auto"/>
          <w:szCs w:val="21"/>
          <w:highlight w:val="none"/>
          <w:lang w:eastAsia="zh-CN"/>
        </w:rPr>
        <w:t>时间及地点</w:t>
      </w:r>
      <w:bookmarkEnd w:id="26"/>
    </w:p>
    <w:p w14:paraId="60B73D56">
      <w:pPr>
        <w:spacing w:line="360" w:lineRule="auto"/>
        <w:ind w:firstLine="420" w:firstLineChars="200"/>
        <w:rPr>
          <w:rFonts w:hint="eastAsia" w:ascii="宋体" w:hAnsi="宋体" w:eastAsia="宋体" w:cs="宋体"/>
          <w:color w:val="auto"/>
          <w:kern w:val="0"/>
          <w:szCs w:val="21"/>
          <w:highlight w:val="none"/>
        </w:rPr>
      </w:pPr>
      <w:bookmarkStart w:id="27" w:name="_Toc27270"/>
      <w:r>
        <w:rPr>
          <w:rFonts w:hint="eastAsia" w:ascii="宋体" w:hAnsi="宋体" w:eastAsia="宋体" w:cs="宋体"/>
          <w:color w:val="auto"/>
          <w:kern w:val="0"/>
          <w:szCs w:val="21"/>
          <w:highlight w:val="none"/>
          <w:lang w:eastAsia="zh-CN"/>
        </w:rPr>
        <w:t>1.开标</w:t>
      </w:r>
      <w:r>
        <w:rPr>
          <w:rFonts w:hint="eastAsia" w:ascii="宋体" w:hAnsi="宋体" w:eastAsia="宋体" w:cs="宋体"/>
          <w:color w:val="auto"/>
          <w:kern w:val="0"/>
          <w:szCs w:val="21"/>
          <w:highlight w:val="none"/>
        </w:rPr>
        <w:t>时间：</w:t>
      </w:r>
      <w:r>
        <w:rPr>
          <w:rFonts w:hint="eastAsia" w:ascii="宋体" w:hAnsi="宋体" w:eastAsia="宋体" w:cs="宋体"/>
          <w:color w:val="auto"/>
          <w:kern w:val="0"/>
          <w:sz w:val="21"/>
          <w:szCs w:val="21"/>
          <w:highlight w:val="none"/>
          <w:lang w:val="en-US" w:eastAsia="zh-CN" w:bidi="ar-SA"/>
        </w:rPr>
        <w:t>2026年5月21日</w:t>
      </w:r>
      <w:r>
        <w:rPr>
          <w:rFonts w:hint="eastAsia" w:eastAsia="宋体" w:cs="宋体"/>
          <w:color w:val="auto"/>
          <w:kern w:val="0"/>
          <w:sz w:val="21"/>
          <w:szCs w:val="21"/>
          <w:highlight w:val="none"/>
          <w:lang w:val="en-US" w:eastAsia="zh-CN" w:bidi="ar-SA"/>
        </w:rPr>
        <w:t>10</w:t>
      </w:r>
      <w:r>
        <w:rPr>
          <w:rFonts w:hint="eastAsia" w:ascii="宋体" w:hAnsi="宋体" w:eastAsia="宋体" w:cs="宋体"/>
          <w:color w:val="auto"/>
          <w:kern w:val="0"/>
          <w:sz w:val="21"/>
          <w:szCs w:val="21"/>
          <w:highlight w:val="none"/>
          <w:lang w:val="en-US" w:eastAsia="zh-CN" w:bidi="ar-SA"/>
        </w:rPr>
        <w:t>时0</w:t>
      </w:r>
      <w:r>
        <w:rPr>
          <w:rFonts w:hint="eastAsia" w:eastAsia="宋体" w:cs="宋体"/>
          <w:color w:val="auto"/>
          <w:kern w:val="0"/>
          <w:sz w:val="21"/>
          <w:szCs w:val="21"/>
          <w:highlight w:val="none"/>
          <w:lang w:val="en-US" w:eastAsia="zh-CN" w:bidi="ar-SA"/>
        </w:rPr>
        <w:t>0</w:t>
      </w:r>
      <w:r>
        <w:rPr>
          <w:rFonts w:hint="eastAsia" w:ascii="宋体" w:hAnsi="宋体" w:eastAsia="宋体" w:cs="宋体"/>
          <w:color w:val="auto"/>
          <w:kern w:val="0"/>
          <w:sz w:val="21"/>
          <w:szCs w:val="21"/>
          <w:highlight w:val="none"/>
          <w:lang w:val="en-US" w:eastAsia="zh-CN" w:bidi="ar-SA"/>
        </w:rPr>
        <w:t>分</w:t>
      </w:r>
      <w:r>
        <w:rPr>
          <w:rFonts w:hint="eastAsia" w:ascii="宋体" w:hAnsi="宋体" w:eastAsia="宋体" w:cs="宋体"/>
          <w:color w:val="auto"/>
          <w:kern w:val="0"/>
          <w:szCs w:val="21"/>
          <w:highlight w:val="none"/>
        </w:rPr>
        <w:t>（北京时间）</w:t>
      </w:r>
    </w:p>
    <w:p w14:paraId="3759EB44">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eastAsia="zh-CN"/>
        </w:rPr>
        <w:t>2.开标</w:t>
      </w:r>
      <w:r>
        <w:rPr>
          <w:rFonts w:hint="eastAsia" w:ascii="宋体" w:hAnsi="宋体" w:eastAsia="宋体" w:cs="宋体"/>
          <w:color w:val="auto"/>
          <w:kern w:val="0"/>
          <w:szCs w:val="21"/>
          <w:highlight w:val="none"/>
        </w:rPr>
        <w:t>地点：</w:t>
      </w:r>
      <w:r>
        <w:rPr>
          <w:rFonts w:hint="eastAsia" w:ascii="宋体" w:hAnsi="宋体" w:eastAsia="宋体" w:cs="宋体"/>
          <w:color w:val="auto"/>
          <w:kern w:val="0"/>
          <w:szCs w:val="21"/>
          <w:highlight w:val="none"/>
          <w:lang w:val="en-US" w:eastAsia="zh-CN"/>
        </w:rPr>
        <w:t>郑州市第八人民医院宜居健康城院区保障用房楼2楼会议室（郑州市荥阳健康园区康体西路与京城路交叉口东南角）。</w:t>
      </w:r>
    </w:p>
    <w:p w14:paraId="3B6DF71B">
      <w:pPr>
        <w:spacing w:line="360" w:lineRule="auto"/>
        <w:ind w:firstLine="420" w:firstLineChars="200"/>
        <w:rPr>
          <w:rFonts w:hint="eastAsia" w:ascii="宋体" w:hAnsi="宋体" w:eastAsia="宋体" w:cs="宋体"/>
          <w:color w:val="auto"/>
          <w:kern w:val="0"/>
          <w:szCs w:val="21"/>
          <w:highlight w:val="none"/>
        </w:rPr>
      </w:pPr>
      <w:r>
        <w:drawing>
          <wp:inline distT="0" distB="0" distL="114300" distR="114300">
            <wp:extent cx="3931920" cy="2948940"/>
            <wp:effectExtent l="0" t="0" r="1143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3931920" cy="2948940"/>
                    </a:xfrm>
                    <a:prstGeom prst="rect">
                      <a:avLst/>
                    </a:prstGeom>
                    <a:noFill/>
                    <a:ln>
                      <a:noFill/>
                    </a:ln>
                  </pic:spPr>
                </pic:pic>
              </a:graphicData>
            </a:graphic>
          </wp:inline>
        </w:drawing>
      </w:r>
    </w:p>
    <w:bookmarkEnd w:id="27"/>
    <w:p w14:paraId="631712B2">
      <w:pPr>
        <w:spacing w:line="360" w:lineRule="auto"/>
        <w:rPr>
          <w:rFonts w:hint="eastAsia" w:ascii="宋体" w:hAnsi="宋体" w:eastAsia="宋体" w:cs="宋体"/>
          <w:b/>
          <w:bCs/>
          <w:color w:val="auto"/>
          <w:kern w:val="0"/>
          <w:szCs w:val="21"/>
          <w:highlight w:val="none"/>
          <w:lang w:val="en-US" w:eastAsia="zh-CN"/>
        </w:rPr>
      </w:pPr>
      <w:bookmarkStart w:id="28" w:name="_Toc31338"/>
      <w:bookmarkStart w:id="29" w:name="_Toc5271"/>
      <w:bookmarkStart w:id="30" w:name="_Toc3503"/>
      <w:bookmarkStart w:id="31" w:name="_Toc24559"/>
      <w:r>
        <w:rPr>
          <w:rFonts w:hint="eastAsia" w:ascii="宋体" w:hAnsi="宋体" w:eastAsia="宋体" w:cs="宋体"/>
          <w:b/>
          <w:bCs/>
          <w:color w:val="auto"/>
          <w:kern w:val="0"/>
          <w:szCs w:val="21"/>
          <w:highlight w:val="none"/>
          <w:lang w:val="en-US" w:eastAsia="zh-CN"/>
        </w:rPr>
        <w:t>八、公告媒介及公告期限</w:t>
      </w:r>
    </w:p>
    <w:p w14:paraId="76978A2F">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fldChar w:fldCharType="begin"/>
      </w:r>
      <w:r>
        <w:rPr>
          <w:rFonts w:hint="eastAsia" w:ascii="宋体" w:hAnsi="宋体" w:eastAsia="宋体" w:cs="宋体"/>
          <w:color w:val="auto"/>
          <w:kern w:val="0"/>
          <w:szCs w:val="21"/>
          <w:highlight w:val="none"/>
          <w:lang w:val="en-US" w:eastAsia="zh-CN"/>
        </w:rPr>
        <w:instrText xml:space="preserve"> HYPERLINK "http://www.zz8y.com/" </w:instrText>
      </w:r>
      <w:r>
        <w:rPr>
          <w:rFonts w:hint="eastAsia" w:ascii="宋体" w:hAnsi="宋体" w:eastAsia="宋体" w:cs="宋体"/>
          <w:color w:val="auto"/>
          <w:kern w:val="0"/>
          <w:szCs w:val="21"/>
          <w:highlight w:val="none"/>
          <w:lang w:val="en-US" w:eastAsia="zh-CN"/>
        </w:rPr>
        <w:fldChar w:fldCharType="separate"/>
      </w:r>
      <w:r>
        <w:rPr>
          <w:rStyle w:val="12"/>
          <w:rFonts w:hint="eastAsia" w:ascii="宋体" w:hAnsi="宋体" w:eastAsia="宋体" w:cs="宋体"/>
          <w:kern w:val="0"/>
          <w:szCs w:val="21"/>
          <w:highlight w:val="none"/>
          <w:lang w:val="en-US" w:eastAsia="zh-CN"/>
        </w:rPr>
        <w:t>http://www.zz8y.com/</w:t>
      </w:r>
      <w:r>
        <w:rPr>
          <w:rFonts w:hint="eastAsia" w:ascii="宋体" w:hAnsi="宋体" w:eastAsia="宋体" w:cs="宋体"/>
          <w:color w:val="auto"/>
          <w:kern w:val="0"/>
          <w:szCs w:val="21"/>
          <w:highlight w:val="none"/>
          <w:lang w:val="en-US" w:eastAsia="zh-CN"/>
        </w:rPr>
        <w:fldChar w:fldCharType="end"/>
      </w:r>
    </w:p>
    <w:p w14:paraId="40D63278">
      <w:pPr>
        <w:spacing w:line="360" w:lineRule="auto"/>
        <w:jc w:val="left"/>
        <w:outlineLvl w:val="1"/>
        <w:rPr>
          <w:rFonts w:hint="eastAsia" w:ascii="宋体" w:hAnsi="宋体" w:eastAsia="宋体" w:cs="宋体"/>
          <w:color w:val="auto"/>
          <w:szCs w:val="21"/>
          <w:highlight w:val="none"/>
        </w:rPr>
      </w:pPr>
      <w:bookmarkStart w:id="32" w:name="_Toc20939"/>
      <w:r>
        <w:rPr>
          <w:rFonts w:hint="eastAsia" w:ascii="宋体" w:hAnsi="宋体" w:eastAsia="宋体" w:cs="宋体"/>
          <w:b/>
          <w:bCs/>
          <w:color w:val="auto"/>
          <w:szCs w:val="21"/>
          <w:highlight w:val="none"/>
          <w:lang w:val="en-US" w:eastAsia="zh-CN"/>
        </w:rPr>
        <w:t>九</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rPr>
        <w:t>凡对本次采购提出询问，请按以下方式联系</w:t>
      </w:r>
      <w:bookmarkEnd w:id="28"/>
      <w:bookmarkEnd w:id="29"/>
      <w:bookmarkEnd w:id="30"/>
      <w:bookmarkEnd w:id="31"/>
      <w:bookmarkEnd w:id="32"/>
    </w:p>
    <w:p w14:paraId="7CA4BC14">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采购人</w:t>
      </w:r>
      <w:r>
        <w:rPr>
          <w:rFonts w:hint="eastAsia" w:ascii="宋体" w:hAnsi="宋体" w:eastAsia="宋体" w:cs="宋体"/>
          <w:color w:val="auto"/>
          <w:szCs w:val="21"/>
          <w:highlight w:val="none"/>
          <w:lang w:val="en-US" w:eastAsia="zh-CN"/>
        </w:rPr>
        <w:t>：郑州市第八人民医院</w:t>
      </w:r>
    </w:p>
    <w:p w14:paraId="2CBE936F">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地 址：郑州市荥阳健康园区康体西路与京城路交叉口东南角</w:t>
      </w:r>
    </w:p>
    <w:p w14:paraId="0732E6E9">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 系 人：黄先生</w:t>
      </w:r>
    </w:p>
    <w:p w14:paraId="67C00E1D">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联系电话：0371-66125879</w:t>
      </w:r>
    </w:p>
    <w:p w14:paraId="62F6A132">
      <w:pPr>
        <w:jc w:val="right"/>
        <w:rPr>
          <w:rFonts w:hint="default"/>
          <w:highlight w:val="yellow"/>
          <w:lang w:val="en-US"/>
        </w:rPr>
        <w:sectPr>
          <w:footerReference r:id="rId3" w:type="default"/>
          <w:pgSz w:w="11920" w:h="16850"/>
          <w:pgMar w:top="1474" w:right="1474" w:bottom="1474" w:left="1474" w:header="1134" w:footer="1134" w:gutter="0"/>
          <w:pgNumType w:fmt="decimal" w:start="1"/>
          <w:cols w:space="720" w:num="1"/>
        </w:sectPr>
      </w:pP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5</w:t>
      </w:r>
      <w:r>
        <w:rPr>
          <w:rFonts w:hint="eastAsia"/>
          <w:highlight w:val="none"/>
        </w:rPr>
        <w:t>月</w:t>
      </w:r>
      <w:r>
        <w:rPr>
          <w:rFonts w:hint="eastAsia"/>
          <w:highlight w:val="none"/>
          <w:lang w:val="en-US" w:eastAsia="zh-CN"/>
        </w:rPr>
        <w:t>13日</w:t>
      </w:r>
      <w:bookmarkStart w:id="33" w:name="_GoBack"/>
      <w:bookmarkEnd w:id="33"/>
    </w:p>
    <w:p w14:paraId="448E30D7">
      <w:pPr>
        <w:numPr>
          <w:ilvl w:val="0"/>
          <w:numId w:val="0"/>
        </w:numPr>
        <w:rPr>
          <w:rFonts w:hint="default" w:ascii="宋体" w:hAnsi="宋体" w:eastAsia="宋体" w:cs="宋体"/>
          <w:kern w:val="2"/>
          <w:sz w:val="28"/>
          <w:szCs w:val="28"/>
          <w:highlight w:val="none"/>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877B3">
    <w:pPr>
      <w:spacing w:line="14" w:lineRule="auto"/>
      <w:rPr>
        <w:sz w:val="20"/>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1FB613">
                          <w:pPr>
                            <w:pStyle w:val="6"/>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291FB613">
                    <w:pPr>
                      <w:pStyle w:val="6"/>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24329E">
                          <w:pPr>
                            <w:pStyle w:val="6"/>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B24329E">
                    <w:pPr>
                      <w:pStyle w:val="6"/>
                      <w:rPr>
                        <w:rFonts w:hint="eastAsia"/>
                      </w:rPr>
                    </w:pPr>
                  </w:p>
                </w:txbxContent>
              </v:textbox>
            </v:shape>
          </w:pict>
        </mc:Fallback>
      </mc:AlternateContent>
    </w:r>
    <w:r>
      <mc:AlternateContent>
        <mc:Choice Requires="wpg">
          <w:drawing>
            <wp:anchor distT="0" distB="0" distL="114300" distR="114300" simplePos="0" relativeHeight="251659264" behindDoc="1" locked="0" layoutInCell="1" allowOverlap="1">
              <wp:simplePos x="0" y="0"/>
              <wp:positionH relativeFrom="page">
                <wp:posOffset>972185</wp:posOffset>
              </wp:positionH>
              <wp:positionV relativeFrom="page">
                <wp:posOffset>9561830</wp:posOffset>
              </wp:positionV>
              <wp:extent cx="29210" cy="1270"/>
              <wp:effectExtent l="0" t="19050" r="8890" b="17780"/>
              <wp:wrapNone/>
              <wp:docPr id="7" name="组合 7"/>
              <wp:cNvGraphicFramePr/>
              <a:graphic xmlns:a="http://schemas.openxmlformats.org/drawingml/2006/main">
                <a:graphicData uri="http://schemas.microsoft.com/office/word/2010/wordprocessingGroup">
                  <wpg:wgp>
                    <wpg:cNvGrpSpPr/>
                    <wpg:grpSpPr>
                      <a:xfrm>
                        <a:off x="0" y="0"/>
                        <a:ext cx="29210" cy="1270"/>
                        <a:chOff x="1532" y="15058"/>
                        <a:chExt cx="46" cy="2203203"/>
                      </a:xfrm>
                      <a:effectLst/>
                    </wpg:grpSpPr>
                    <wpg:grpSp>
                      <wpg:cNvPr id="8" name="组合 17"/>
                      <wpg:cNvGrpSpPr/>
                      <wpg:grpSpPr>
                        <a:xfrm>
                          <a:off x="1532" y="15058"/>
                          <a:ext cx="46" cy="2"/>
                          <a:chOff x="1532" y="15058"/>
                          <a:chExt cx="46" cy="2"/>
                        </a:xfrm>
                        <a:effectLst/>
                      </wpg:grpSpPr>
                      <wps:wsp>
                        <wps:cNvPr id="9" name="任意多边形 18"/>
                        <wps:cNvSpPr/>
                        <wps:spPr>
                          <a:xfrm>
                            <a:off x="1532" y="15058"/>
                            <a:ext cx="46" cy="2"/>
                          </a:xfrm>
                          <a:custGeom>
                            <a:avLst/>
                            <a:gdLst/>
                            <a:ahLst/>
                            <a:cxnLst/>
                            <a:rect l="0" t="0" r="0" b="0"/>
                            <a:pathLst>
                              <a:path w="46" h="1">
                                <a:moveTo>
                                  <a:pt x="0" y="0"/>
                                </a:moveTo>
                                <a:lnTo>
                                  <a:pt x="45" y="0"/>
                                </a:lnTo>
                              </a:path>
                            </a:pathLst>
                          </a:custGeom>
                          <a:noFill/>
                          <a:ln w="38100" cap="flat" cmpd="sng">
                            <a:solidFill>
                              <a:srgbClr val="612322"/>
                            </a:solidFill>
                            <a:prstDash val="solid"/>
                            <a:round/>
                            <a:headEnd type="none" w="med" len="med"/>
                            <a:tailEnd type="none" w="med" len="med"/>
                          </a:ln>
                          <a:effectLst/>
                        </wps:spPr>
                        <wps:bodyPr upright="1"/>
                      </wps:wsp>
                    </wpg:grpSp>
                  </wpg:wgp>
                </a:graphicData>
              </a:graphic>
            </wp:anchor>
          </w:drawing>
        </mc:Choice>
        <mc:Fallback>
          <w:pict>
            <v:group id="_x0000_s1026" o:spid="_x0000_s1026" o:spt="203" style="position:absolute;left:0pt;margin-left:76.55pt;margin-top:752.9pt;height:0.1pt;width:2.3pt;mso-position-horizontal-relative:page;mso-position-vertical-relative:page;z-index:-251657216;mso-width-relative:page;mso-height-relative:page;" coordorigin="1532,15058" coordsize="46,2203203" o:gfxdata="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7W/7&#10;9toAAAANAQAADwAAAAAAAAABACAAAAAiAAAAZHJzL2Rvd25yZXYueG1sUEsBAhQAFAAAAAgAh07i&#10;QB+QhabLAgAAOQcAAA4AAAAAAAAAAQAgAAAAKQEAAGRycy9lMm9Eb2MueG1sUEsFBgAAAAAGAAYA&#10;WQEAAGYGAAAAAA==&#10;">
              <o:lock v:ext="edit" aspectratio="f"/>
              <v:group id="组合 17" o:spid="_x0000_s1026" o:spt="203" style="position:absolute;left:1532;top:15058;height:2;width:46;" coordorigin="1532,15058" coordsize="46,2"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任意多边形 18" o:spid="_x0000_s1026" o:spt="100" style="position:absolute;left:1532;top:15058;height:2;width:46;" filled="f" stroked="t" coordsize="46,1" o:gfxdata="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EnVL4A&#10;AADaAAAADwAAAAAAAAABACAAAAAiAAAAZHJzL2Rvd25yZXYueG1sUEsBAhQAFAAAAAgAh07iQDMv&#10;BZ47AAAAOQAAABAAAAAAAAAAAQAgAAAADQEAAGRycy9zaGFwZXhtbC54bWxQSwUGAAAAAAYABgBb&#10;AQAAtwMAAAAA&#10;" path="m0,0l45,0e">
                  <v:fill on="f" focussize="0,0"/>
                  <v:stroke weight="3pt" color="#612322" joinstyle="round"/>
                  <v:imagedata o:title=""/>
                  <o:lock v:ext="edit" aspectratio="f"/>
                </v:shape>
              </v:group>
            </v:group>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FA6C31"/>
    <w:rsid w:val="29DF1E91"/>
    <w:rsid w:val="5B994EA8"/>
    <w:rsid w:val="5CBC39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ody Text Indent"/>
    <w:basedOn w:val="1"/>
    <w:next w:val="4"/>
    <w:uiPriority w:val="0"/>
  </w:style>
  <w:style w:type="paragraph" w:styleId="4">
    <w:name w:val="envelope return"/>
    <w:basedOn w:val="1"/>
    <w:qFormat/>
    <w:uiPriority w:val="0"/>
    <w:pPr>
      <w:snapToGrid w:val="0"/>
    </w:pPr>
    <w:rPr>
      <w:rFonts w:ascii="Arial" w:hAnsi="Arial"/>
    </w:rPr>
  </w:style>
  <w:style w:type="paragraph" w:styleId="5">
    <w:name w:val="List 2"/>
    <w:basedOn w:val="1"/>
    <w:qFormat/>
    <w:uiPriority w:val="0"/>
    <w:pPr>
      <w:ind w:left="100" w:leftChars="200" w:hanging="200" w:hangingChars="200"/>
      <w:contextualSpacing/>
    </w:pPr>
    <w:rPr>
      <w:szCs w:val="24"/>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9">
    <w:name w:val="Body Text First Indent 2"/>
    <w:basedOn w:val="3"/>
    <w:next w:val="1"/>
    <w:qFormat/>
    <w:uiPriority w:val="0"/>
    <w:pPr>
      <w:numPr>
        <w:ilvl w:val="0"/>
        <w:numId w:val="0"/>
      </w:numPr>
      <w:spacing w:after="120"/>
    </w:pPr>
  </w:style>
  <w:style w:type="character" w:styleId="12">
    <w:name w:val="Hyperlink"/>
    <w:uiPriority w:val="99"/>
    <w:rPr>
      <w:rFonts w:ascii="宋体" w:hAnsi="宋体" w:eastAsia="宋体"/>
      <w:color w:val="444444"/>
      <w:kern w:val="2"/>
      <w:sz w:val="21"/>
      <w:szCs w:val="21"/>
      <w:u w:val="none"/>
      <w:lang w:val="en-US" w:eastAsia="zh-CN" w:bidi="ar-SA"/>
    </w:rPr>
  </w:style>
  <w:style w:type="paragraph" w:customStyle="1" w:styleId="13">
    <w:name w:val="Body Text 21"/>
    <w:basedOn w:val="1"/>
    <w:next w:val="2"/>
    <w:qFormat/>
    <w:uiPriority w:val="0"/>
    <w:rPr>
      <w:rFonts w:ascii="ˎ̥" w:hAnsi="ˎ̥" w:cs="宋体"/>
      <w:b/>
      <w:sz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1762</Words>
  <Characters>1959</Characters>
  <Lines>0</Lines>
  <Paragraphs>0</Paragraphs>
  <TotalTime>0</TotalTime>
  <ScaleCrop>false</ScaleCrop>
  <LinksUpToDate>false</LinksUpToDate>
  <CharactersWithSpaces>1969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2026-04-03T03:00:00Z</dcterms:created>
  <dc:creator>Administrator</dc:creator>
  <cp:lastModifiedBy>吴浩翔</cp:lastModifiedBy>
  <dcterms:modified xsi:type="dcterms:W3CDTF">2026-05-13T07:41:57Z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eyJoZGlkIjoiZTEyY2E4NmJjMDU1YTUyNzQzOGMyMTYzN2VkYmE0ZTEiLCJ1c2VySWQiOiIxNTY4Nzk3NDM0In0=</vt:lpwstr>
  </property>
  <property fmtid="{D5CDD505-2E9C-101B-9397-08002B2CF9AE}" pid="4" name="ICV">
    <vt:lpwstr>7F953EE485624F849793771E0F2E9E5D_12</vt:lpwstr>
  </property>
</Properties>
</file>